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CA31" w14:textId="5359D70D" w:rsidR="00E321DE" w:rsidRPr="00D15E15" w:rsidRDefault="00E321DE" w:rsidP="00E321DE">
      <w:pPr>
        <w:pStyle w:val="rvps2"/>
        <w:spacing w:before="0" w:beforeAutospacing="0" w:after="150" w:afterAutospacing="0"/>
        <w:ind w:firstLine="450"/>
        <w:jc w:val="center"/>
        <w:rPr>
          <w:b/>
          <w:bCs/>
          <w:color w:val="333333"/>
          <w:lang w:val="uk-UA"/>
        </w:rPr>
      </w:pPr>
      <w:r w:rsidRPr="00D15E15">
        <w:rPr>
          <w:b/>
          <w:bCs/>
          <w:color w:val="333333"/>
          <w:lang w:val="uk-UA"/>
        </w:rPr>
        <w:t>Розкриття інформаці</w:t>
      </w:r>
      <w:r w:rsidR="004F1B95">
        <w:rPr>
          <w:b/>
          <w:bCs/>
          <w:color w:val="333333"/>
          <w:lang w:val="uk-UA"/>
        </w:rPr>
        <w:t>ї</w:t>
      </w:r>
      <w:r w:rsidRPr="00D15E15">
        <w:rPr>
          <w:b/>
          <w:bCs/>
          <w:color w:val="333333"/>
          <w:lang w:val="uk-UA"/>
        </w:rPr>
        <w:t xml:space="preserve"> про ТОВАРИСТВО З ОБМЕЖЕНОЮ ВІДПОВІДАЛЬНІСТЮ «</w:t>
      </w:r>
      <w:r w:rsidR="00BA6314">
        <w:rPr>
          <w:b/>
          <w:bCs/>
          <w:color w:val="333333"/>
          <w:lang w:val="uk-UA"/>
        </w:rPr>
        <w:t>САНФОРД КАПІТАЛ</w:t>
      </w:r>
      <w:r w:rsidRPr="00D15E15">
        <w:rPr>
          <w:b/>
          <w:bCs/>
          <w:color w:val="333333"/>
          <w:lang w:val="uk-UA"/>
        </w:rPr>
        <w:t>» як надавача фінансових послуг</w:t>
      </w:r>
    </w:p>
    <w:tbl>
      <w:tblPr>
        <w:tblStyle w:val="TableGrid"/>
        <w:tblW w:w="0" w:type="auto"/>
        <w:tblLook w:val="04A0" w:firstRow="1" w:lastRow="0" w:firstColumn="1" w:lastColumn="0" w:noHBand="0" w:noVBand="1"/>
      </w:tblPr>
      <w:tblGrid>
        <w:gridCol w:w="4672"/>
        <w:gridCol w:w="4673"/>
      </w:tblGrid>
      <w:tr w:rsidR="00E321DE" w:rsidRPr="00D15E15" w14:paraId="17875E18" w14:textId="77777777" w:rsidTr="00AD77C6">
        <w:tc>
          <w:tcPr>
            <w:tcW w:w="9345" w:type="dxa"/>
            <w:gridSpan w:val="2"/>
          </w:tcPr>
          <w:p w14:paraId="19B6DEA0" w14:textId="04DAA8C6"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 Відомості про найменування:</w:t>
            </w:r>
          </w:p>
        </w:tc>
      </w:tr>
      <w:tr w:rsidR="00E321DE" w:rsidRPr="00447968" w14:paraId="72CC09FE" w14:textId="77777777" w:rsidTr="00E321DE">
        <w:tc>
          <w:tcPr>
            <w:tcW w:w="4672" w:type="dxa"/>
          </w:tcPr>
          <w:p w14:paraId="3F317A83" w14:textId="6584AE4A"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повне найменування надавача фінансових послуг відповідно до його установчих документів та відомостей з Єдиного державного реєстру юридичних осіб, фізичних осіб-підприємців та громадських формувань (далі - Єдиний державний реєстр)</w:t>
            </w:r>
          </w:p>
        </w:tc>
        <w:tc>
          <w:tcPr>
            <w:tcW w:w="4673" w:type="dxa"/>
          </w:tcPr>
          <w:p w14:paraId="6835CB7B" w14:textId="077D4BFC"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t>ТОВАРИСТВО З ОБМЕЖЕНОЮ ВІДПОВІДАЛЬНІСТЮ «</w:t>
            </w:r>
            <w:r w:rsidR="00BA6314">
              <w:rPr>
                <w:b/>
                <w:bCs/>
                <w:color w:val="333333"/>
                <w:lang w:val="uk-UA"/>
              </w:rPr>
              <w:t>САНФОРД КАПІТАЛ</w:t>
            </w:r>
            <w:r w:rsidRPr="00D15E15">
              <w:rPr>
                <w:b/>
                <w:bCs/>
                <w:color w:val="333333"/>
                <w:lang w:val="uk-UA"/>
              </w:rPr>
              <w:t>»</w:t>
            </w:r>
          </w:p>
        </w:tc>
      </w:tr>
      <w:tr w:rsidR="00E321DE" w:rsidRPr="00D15E15" w14:paraId="625547C7" w14:textId="77777777" w:rsidTr="00E321DE">
        <w:tc>
          <w:tcPr>
            <w:tcW w:w="4672" w:type="dxa"/>
          </w:tcPr>
          <w:p w14:paraId="18A84D16" w14:textId="0F47CD8F"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комерційне (фірмове) найменування надавача фінансових послуг відповідно до його установчих документів (за наявності)</w:t>
            </w:r>
          </w:p>
        </w:tc>
        <w:tc>
          <w:tcPr>
            <w:tcW w:w="4673" w:type="dxa"/>
          </w:tcPr>
          <w:p w14:paraId="0BA2098E" w14:textId="3A3C7092"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t>Комерційне (фірмове) найменування установчими документами не передбачено.</w:t>
            </w:r>
          </w:p>
        </w:tc>
      </w:tr>
      <w:tr w:rsidR="00E321DE" w:rsidRPr="00D15E15" w14:paraId="772DB9AB" w14:textId="77777777" w:rsidTr="00E321DE">
        <w:tc>
          <w:tcPr>
            <w:tcW w:w="4672" w:type="dxa"/>
          </w:tcPr>
          <w:p w14:paraId="7A633CDE" w14:textId="68D2C716"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2) інформацію про торговельні марки (знаки для товарів і послуг), які використовуються надавачем фінансових послуг для надання ним відповідних видів фінансових послуг, шляхом розміщення на власному </w:t>
            </w:r>
            <w:proofErr w:type="spellStart"/>
            <w:r w:rsidRPr="00D15E15">
              <w:rPr>
                <w:color w:val="333333"/>
                <w:lang w:val="uk-UA"/>
              </w:rPr>
              <w:t>вебсайті</w:t>
            </w:r>
            <w:proofErr w:type="spellEnd"/>
            <w:r w:rsidRPr="00D15E15">
              <w:rPr>
                <w:color w:val="333333"/>
                <w:lang w:val="uk-UA"/>
              </w:rPr>
              <w:t xml:space="preserve"> наявного зображення позначень, які є об’єктом торговельної марки, свідоцтва про реєстрацію/заявки на торговельну марку (знак для товарів та послуг) (за наявності) або документів, які підтверджують наявність інших правових підстав використання торговельних марок (знаків для товарів і послуг)</w:t>
            </w:r>
          </w:p>
        </w:tc>
        <w:tc>
          <w:tcPr>
            <w:tcW w:w="4673" w:type="dxa"/>
          </w:tcPr>
          <w:p w14:paraId="0AE8BB48" w14:textId="6E319967" w:rsidR="00447968" w:rsidRPr="00447968" w:rsidRDefault="00BA6314" w:rsidP="00447968">
            <w:pPr>
              <w:shd w:val="clear" w:color="auto" w:fill="FFFFFF"/>
              <w:spacing w:after="135"/>
              <w:ind w:left="36"/>
              <w:contextualSpacing/>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Торговельна марка (знаки для товарів і послуг) не використовуються.</w:t>
            </w:r>
          </w:p>
          <w:p w14:paraId="4C23096F" w14:textId="309623D0" w:rsidR="00313156" w:rsidRPr="00313156" w:rsidRDefault="00313156" w:rsidP="00313156">
            <w:pPr>
              <w:rPr>
                <w:rFonts w:ascii="Times New Roman" w:eastAsia="Times New Roman" w:hAnsi="Times New Roman" w:cs="Times New Roman"/>
                <w:b/>
                <w:bCs/>
                <w:color w:val="333333"/>
                <w:sz w:val="24"/>
                <w:szCs w:val="24"/>
                <w:lang w:val="uk-UA" w:eastAsia="en-GB"/>
              </w:rPr>
            </w:pPr>
          </w:p>
        </w:tc>
      </w:tr>
      <w:tr w:rsidR="00E321DE" w:rsidRPr="00D15E15" w14:paraId="0623039D" w14:textId="77777777" w:rsidTr="00313156">
        <w:trPr>
          <w:trHeight w:val="573"/>
        </w:trPr>
        <w:tc>
          <w:tcPr>
            <w:tcW w:w="9345" w:type="dxa"/>
            <w:gridSpan w:val="2"/>
          </w:tcPr>
          <w:p w14:paraId="3D5BCF0D" w14:textId="39B8E91E"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3) відомості про державну реєстрацію в Єдиному державному реєстрі:</w:t>
            </w:r>
          </w:p>
        </w:tc>
      </w:tr>
      <w:tr w:rsidR="00E321DE" w:rsidRPr="00D15E15" w14:paraId="624DA45C" w14:textId="77777777" w:rsidTr="00E321DE">
        <w:tc>
          <w:tcPr>
            <w:tcW w:w="4672" w:type="dxa"/>
          </w:tcPr>
          <w:p w14:paraId="084E4201" w14:textId="4A710C20"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дата та номер запису про державну реєстрацію юридичної особи</w:t>
            </w:r>
          </w:p>
        </w:tc>
        <w:tc>
          <w:tcPr>
            <w:tcW w:w="4673" w:type="dxa"/>
          </w:tcPr>
          <w:p w14:paraId="5CE7AB93" w14:textId="1167A9B6" w:rsidR="00447968" w:rsidRPr="00447968" w:rsidRDefault="00BA6314" w:rsidP="00447968">
            <w:pPr>
              <w:contextualSpacing/>
              <w:rPr>
                <w:rFonts w:ascii="Times New Roman" w:eastAsia="Times New Roman" w:hAnsi="Times New Roman" w:cs="Times New Roman"/>
                <w:sz w:val="24"/>
                <w:szCs w:val="24"/>
                <w:lang w:val="uk-UA" w:eastAsia="en-GB"/>
              </w:rPr>
            </w:pPr>
            <w:r>
              <w:rPr>
                <w:rFonts w:ascii="Times New Roman" w:eastAsia="Times New Roman" w:hAnsi="Times New Roman" w:cs="Times New Roman"/>
                <w:b/>
                <w:bCs/>
                <w:color w:val="333333"/>
                <w:sz w:val="24"/>
                <w:szCs w:val="24"/>
                <w:lang w:val="uk-UA" w:eastAsia="en-GB"/>
              </w:rPr>
              <w:t>2</w:t>
            </w:r>
            <w:r w:rsidR="00447968" w:rsidRPr="00447968">
              <w:rPr>
                <w:rFonts w:ascii="Times New Roman" w:eastAsia="Times New Roman" w:hAnsi="Times New Roman" w:cs="Times New Roman"/>
                <w:b/>
                <w:bCs/>
                <w:color w:val="333333"/>
                <w:sz w:val="24"/>
                <w:szCs w:val="24"/>
                <w:lang w:val="uk-UA" w:eastAsia="en-GB"/>
              </w:rPr>
              <w:t>0.03.202</w:t>
            </w:r>
            <w:r>
              <w:rPr>
                <w:rFonts w:ascii="Times New Roman" w:eastAsia="Times New Roman" w:hAnsi="Times New Roman" w:cs="Times New Roman"/>
                <w:b/>
                <w:bCs/>
                <w:color w:val="333333"/>
                <w:sz w:val="24"/>
                <w:szCs w:val="24"/>
                <w:lang w:val="uk-UA" w:eastAsia="en-GB"/>
              </w:rPr>
              <w:t>0</w:t>
            </w:r>
            <w:r w:rsidR="00447968" w:rsidRPr="00447968">
              <w:rPr>
                <w:rFonts w:ascii="Times New Roman" w:eastAsia="Times New Roman" w:hAnsi="Times New Roman" w:cs="Times New Roman"/>
                <w:b/>
                <w:bCs/>
                <w:color w:val="333333"/>
                <w:sz w:val="24"/>
                <w:szCs w:val="24"/>
                <w:lang w:val="uk-UA" w:eastAsia="en-GB"/>
              </w:rPr>
              <w:t>, 1</w:t>
            </w:r>
            <w:r>
              <w:rPr>
                <w:rFonts w:ascii="Times New Roman" w:eastAsia="Times New Roman" w:hAnsi="Times New Roman" w:cs="Times New Roman"/>
                <w:b/>
                <w:bCs/>
                <w:color w:val="333333"/>
                <w:sz w:val="24"/>
                <w:szCs w:val="24"/>
                <w:lang w:val="uk-UA" w:eastAsia="en-GB"/>
              </w:rPr>
              <w:t> </w:t>
            </w:r>
            <w:r w:rsidR="00447968" w:rsidRPr="00447968">
              <w:rPr>
                <w:rFonts w:ascii="Times New Roman" w:eastAsia="Times New Roman" w:hAnsi="Times New Roman" w:cs="Times New Roman"/>
                <w:b/>
                <w:bCs/>
                <w:color w:val="333333"/>
                <w:sz w:val="24"/>
                <w:szCs w:val="24"/>
                <w:lang w:val="uk-UA" w:eastAsia="en-GB"/>
              </w:rPr>
              <w:t>0</w:t>
            </w:r>
            <w:r>
              <w:rPr>
                <w:rFonts w:ascii="Times New Roman" w:eastAsia="Times New Roman" w:hAnsi="Times New Roman" w:cs="Times New Roman"/>
                <w:b/>
                <w:bCs/>
                <w:color w:val="333333"/>
                <w:sz w:val="24"/>
                <w:szCs w:val="24"/>
                <w:lang w:val="uk-UA" w:eastAsia="en-GB"/>
              </w:rPr>
              <w:t xml:space="preserve">68 102 0000 058076 </w:t>
            </w:r>
          </w:p>
          <w:p w14:paraId="3D46DB08" w14:textId="0A3CE346" w:rsidR="00E321DE" w:rsidRPr="00D15E15" w:rsidRDefault="00E321DE" w:rsidP="00E321DE">
            <w:pPr>
              <w:pStyle w:val="rvps2"/>
              <w:spacing w:before="0" w:beforeAutospacing="0" w:after="150" w:afterAutospacing="0"/>
              <w:jc w:val="both"/>
              <w:rPr>
                <w:b/>
                <w:bCs/>
                <w:color w:val="333333"/>
                <w:lang w:val="uk-UA"/>
              </w:rPr>
            </w:pPr>
          </w:p>
        </w:tc>
      </w:tr>
      <w:tr w:rsidR="00E321DE" w:rsidRPr="00D15E15" w14:paraId="311385A6" w14:textId="77777777" w:rsidTr="00E321DE">
        <w:tc>
          <w:tcPr>
            <w:tcW w:w="4672" w:type="dxa"/>
          </w:tcPr>
          <w:p w14:paraId="57A7512F" w14:textId="7EAEA3C1"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ідентифікаційний код юридичної особи</w:t>
            </w:r>
          </w:p>
        </w:tc>
        <w:tc>
          <w:tcPr>
            <w:tcW w:w="4673" w:type="dxa"/>
          </w:tcPr>
          <w:p w14:paraId="48E26A44" w14:textId="563F272C" w:rsidR="00E321DE" w:rsidRPr="00447968" w:rsidRDefault="00BA6314" w:rsidP="00E321DE">
            <w:pPr>
              <w:pStyle w:val="rvps2"/>
              <w:spacing w:before="0" w:beforeAutospacing="0" w:after="150" w:afterAutospacing="0"/>
              <w:jc w:val="both"/>
              <w:rPr>
                <w:b/>
                <w:color w:val="333333"/>
                <w:lang w:val="uk-UA"/>
              </w:rPr>
            </w:pPr>
            <w:r>
              <w:rPr>
                <w:b/>
                <w:lang w:val="uk-UA" w:eastAsia="ru-RU"/>
              </w:rPr>
              <w:t>43575686</w:t>
            </w:r>
          </w:p>
        </w:tc>
      </w:tr>
      <w:tr w:rsidR="00E321DE" w:rsidRPr="00D15E15" w14:paraId="3C7FBFA9" w14:textId="77777777" w:rsidTr="007620A5">
        <w:tc>
          <w:tcPr>
            <w:tcW w:w="9345" w:type="dxa"/>
            <w:gridSpan w:val="2"/>
          </w:tcPr>
          <w:p w14:paraId="3E577712" w14:textId="59F24C40"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4) відомості про місцезнаходження:</w:t>
            </w:r>
          </w:p>
        </w:tc>
      </w:tr>
      <w:tr w:rsidR="00E321DE" w:rsidRPr="00B8055B" w14:paraId="1C5F911C" w14:textId="77777777" w:rsidTr="00E321DE">
        <w:tc>
          <w:tcPr>
            <w:tcW w:w="4672" w:type="dxa"/>
          </w:tcPr>
          <w:p w14:paraId="3050B536" w14:textId="710A23DB"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місцезнаходження відповідно до відомостей з Єдиного державного реєстру із зазначенням поштового індексу, області, району, населеного пункту, району населеного пункту (за наявності), вулиці, номера будинку, номера корпусу (за наявності), номера офісу (квартири) (за наявності)</w:t>
            </w:r>
          </w:p>
        </w:tc>
        <w:tc>
          <w:tcPr>
            <w:tcW w:w="4673" w:type="dxa"/>
          </w:tcPr>
          <w:p w14:paraId="2344AAF7" w14:textId="30911F35" w:rsidR="00E321DE" w:rsidRPr="005F2B1E" w:rsidRDefault="00447968" w:rsidP="00E321DE">
            <w:pPr>
              <w:pStyle w:val="rvps2"/>
              <w:spacing w:before="0" w:beforeAutospacing="0" w:after="150" w:afterAutospacing="0"/>
              <w:jc w:val="both"/>
              <w:rPr>
                <w:b/>
                <w:bCs/>
                <w:color w:val="333333"/>
              </w:rPr>
            </w:pPr>
            <w:r w:rsidRPr="005F2B1E">
              <w:rPr>
                <w:b/>
                <w:bCs/>
                <w:lang w:val="uk-UA"/>
              </w:rPr>
              <w:t xml:space="preserve">Україна, </w:t>
            </w:r>
            <w:r w:rsidR="001D5B69" w:rsidRPr="005F2B1E">
              <w:rPr>
                <w:b/>
                <w:bCs/>
                <w:lang w:val="uk-UA"/>
              </w:rPr>
              <w:t>49005</w:t>
            </w:r>
            <w:r w:rsidRPr="005F2B1E">
              <w:rPr>
                <w:b/>
                <w:bCs/>
                <w:lang w:val="uk-UA"/>
              </w:rPr>
              <w:t xml:space="preserve">, місто </w:t>
            </w:r>
            <w:r w:rsidR="00FE7069" w:rsidRPr="005F2B1E">
              <w:rPr>
                <w:b/>
                <w:bCs/>
                <w:lang w:val="uk-UA"/>
              </w:rPr>
              <w:t>Дніпро</w:t>
            </w:r>
            <w:r w:rsidRPr="005F2B1E">
              <w:rPr>
                <w:b/>
                <w:bCs/>
                <w:lang w:val="uk-UA"/>
              </w:rPr>
              <w:t xml:space="preserve">, вулиця </w:t>
            </w:r>
            <w:r w:rsidR="001D5B69" w:rsidRPr="005F2B1E">
              <w:rPr>
                <w:b/>
                <w:bCs/>
                <w:lang w:val="uk-UA"/>
              </w:rPr>
              <w:t>Сімферопольська</w:t>
            </w:r>
            <w:r w:rsidRPr="005F2B1E">
              <w:rPr>
                <w:b/>
                <w:bCs/>
                <w:lang w:val="uk-UA"/>
              </w:rPr>
              <w:t xml:space="preserve">, будинок </w:t>
            </w:r>
            <w:r w:rsidR="001D5B69" w:rsidRPr="005F2B1E">
              <w:rPr>
                <w:b/>
                <w:bCs/>
                <w:lang w:val="uk-UA"/>
              </w:rPr>
              <w:t>21, приміщення 68-69</w:t>
            </w:r>
          </w:p>
        </w:tc>
      </w:tr>
      <w:tr w:rsidR="00E321DE" w:rsidRPr="00D15E15" w14:paraId="4D38562C" w14:textId="77777777" w:rsidTr="00E321DE">
        <w:tc>
          <w:tcPr>
            <w:tcW w:w="4672" w:type="dxa"/>
          </w:tcPr>
          <w:p w14:paraId="7982F251" w14:textId="3C658867"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фактична адреса місця провадження господарської діяльності з надання фінансових послуг, якщо місцезнаходження надавача фінансових послуг не збігається з місцем провадження такої діяльності, із зазначенням поштового індексу, області, району, населеного </w:t>
            </w:r>
            <w:r w:rsidRPr="00D15E15">
              <w:rPr>
                <w:color w:val="333333"/>
                <w:lang w:val="uk-UA"/>
              </w:rPr>
              <w:lastRenderedPageBreak/>
              <w:t>пункту, району населеного пункту (за наявності), вулиці, номера будинку, номера корпусу (за наявності), номера офісу (квартири) (за наявності)</w:t>
            </w:r>
          </w:p>
        </w:tc>
        <w:tc>
          <w:tcPr>
            <w:tcW w:w="4673" w:type="dxa"/>
          </w:tcPr>
          <w:p w14:paraId="2F96F4C1" w14:textId="1735D60A" w:rsidR="00E321DE" w:rsidRPr="005F2B1E" w:rsidRDefault="001D5B69" w:rsidP="00E321DE">
            <w:pPr>
              <w:pStyle w:val="rvps2"/>
              <w:spacing w:before="0" w:beforeAutospacing="0" w:after="150" w:afterAutospacing="0"/>
              <w:jc w:val="both"/>
              <w:rPr>
                <w:color w:val="333333"/>
                <w:lang w:val="uk-UA"/>
              </w:rPr>
            </w:pPr>
            <w:r w:rsidRPr="005F2B1E">
              <w:rPr>
                <w:b/>
                <w:bCs/>
                <w:lang w:val="uk-UA"/>
              </w:rPr>
              <w:lastRenderedPageBreak/>
              <w:t xml:space="preserve">Україна, 49005, місто </w:t>
            </w:r>
            <w:r w:rsidR="00FE7069" w:rsidRPr="005F2B1E">
              <w:rPr>
                <w:b/>
                <w:bCs/>
                <w:lang w:val="uk-UA"/>
              </w:rPr>
              <w:t>Дніпро</w:t>
            </w:r>
            <w:r w:rsidRPr="005F2B1E">
              <w:rPr>
                <w:b/>
                <w:bCs/>
                <w:lang w:val="uk-UA"/>
              </w:rPr>
              <w:t>, вулиця Сімферопольська, будинок 21, приміщення 68-69</w:t>
            </w:r>
          </w:p>
        </w:tc>
      </w:tr>
      <w:tr w:rsidR="00E321DE" w:rsidRPr="00D15E15" w14:paraId="3C7C2579" w14:textId="77777777" w:rsidTr="00972427">
        <w:tc>
          <w:tcPr>
            <w:tcW w:w="9345" w:type="dxa"/>
            <w:gridSpan w:val="2"/>
          </w:tcPr>
          <w:p w14:paraId="72A4EF45" w14:textId="23690313"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5) відомості щодо включення надавача фінансових послуг до Державного реєстру фінансових установ/Реєстру осіб, які не є фінансовими установами, але мають право надавати окремі фінансові послуги</w:t>
            </w:r>
          </w:p>
        </w:tc>
      </w:tr>
      <w:tr w:rsidR="00E321DE" w:rsidRPr="00D15E15" w14:paraId="3BC2588A" w14:textId="77777777" w:rsidTr="00E321DE">
        <w:tc>
          <w:tcPr>
            <w:tcW w:w="4672" w:type="dxa"/>
          </w:tcPr>
          <w:p w14:paraId="33B153DD" w14:textId="02984F31"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інформація про дату та номер рішення про внесення надавача фінансових послуг до Державного реєстру фінансових установ</w:t>
            </w:r>
          </w:p>
        </w:tc>
        <w:tc>
          <w:tcPr>
            <w:tcW w:w="4673" w:type="dxa"/>
          </w:tcPr>
          <w:p w14:paraId="34EB239F" w14:textId="797C44A9" w:rsidR="00E321DE" w:rsidRPr="00D15E15" w:rsidRDefault="00BA6314" w:rsidP="00E321DE">
            <w:pPr>
              <w:pStyle w:val="rvps2"/>
              <w:spacing w:before="0" w:beforeAutospacing="0" w:after="150" w:afterAutospacing="0"/>
              <w:jc w:val="both"/>
              <w:rPr>
                <w:b/>
                <w:bCs/>
                <w:color w:val="333333"/>
                <w:lang w:val="uk-UA"/>
              </w:rPr>
            </w:pPr>
            <w:r>
              <w:rPr>
                <w:b/>
                <w:bCs/>
                <w:color w:val="333333"/>
                <w:lang w:val="uk-UA"/>
              </w:rPr>
              <w:t>23.06.2020</w:t>
            </w:r>
          </w:p>
        </w:tc>
      </w:tr>
      <w:tr w:rsidR="00E321DE" w:rsidRPr="00447968" w14:paraId="6492FB95" w14:textId="77777777" w:rsidTr="00E321DE">
        <w:tc>
          <w:tcPr>
            <w:tcW w:w="4672" w:type="dxa"/>
          </w:tcPr>
          <w:p w14:paraId="6F8111F6" w14:textId="3A1E12DD"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розміщення копії свідоцтва про реєстрацію надавача фінансових послуг</w:t>
            </w:r>
          </w:p>
        </w:tc>
        <w:tc>
          <w:tcPr>
            <w:tcW w:w="4673" w:type="dxa"/>
          </w:tcPr>
          <w:p w14:paraId="2D4C587D" w14:textId="222459E3" w:rsidR="00E321DE" w:rsidRPr="00D15E15" w:rsidRDefault="00E321DE" w:rsidP="00E321DE">
            <w:pPr>
              <w:pStyle w:val="rvps2"/>
              <w:spacing w:before="0" w:beforeAutospacing="0" w:after="150" w:afterAutospacing="0"/>
              <w:jc w:val="both"/>
              <w:rPr>
                <w:b/>
                <w:bCs/>
                <w:color w:val="0070C0"/>
                <w:lang w:val="uk-UA"/>
              </w:rPr>
            </w:pPr>
            <w:r w:rsidRPr="004C6E99">
              <w:rPr>
                <w:b/>
                <w:bCs/>
                <w:color w:val="0070C0"/>
                <w:lang w:val="uk-UA"/>
              </w:rPr>
              <w:t>Копія свідоцтва про реєстрацію фінансової установи - ТОВ «</w:t>
            </w:r>
            <w:r w:rsidR="00BA6314">
              <w:rPr>
                <w:b/>
                <w:bCs/>
                <w:color w:val="0070C0"/>
                <w:lang w:val="uk-UA"/>
              </w:rPr>
              <w:t>САНФОРД КАПІТАЛ</w:t>
            </w:r>
            <w:r w:rsidRPr="004C6E99">
              <w:rPr>
                <w:b/>
                <w:bCs/>
                <w:color w:val="0070C0"/>
                <w:lang w:val="uk-UA"/>
              </w:rPr>
              <w:t>».</w:t>
            </w:r>
          </w:p>
          <w:p w14:paraId="459AF417" w14:textId="499B3C4A" w:rsidR="00E321DE" w:rsidRPr="00D15E15" w:rsidRDefault="00E321DE" w:rsidP="00E321DE">
            <w:pPr>
              <w:pStyle w:val="rvps2"/>
              <w:spacing w:before="0" w:beforeAutospacing="0" w:after="150" w:afterAutospacing="0"/>
              <w:jc w:val="both"/>
              <w:rPr>
                <w:b/>
                <w:bCs/>
                <w:color w:val="0070C0"/>
                <w:lang w:val="uk-UA"/>
              </w:rPr>
            </w:pPr>
          </w:p>
        </w:tc>
      </w:tr>
      <w:tr w:rsidR="00E321DE" w:rsidRPr="00377942" w14:paraId="40C60ED6" w14:textId="77777777" w:rsidTr="00E321DE">
        <w:tc>
          <w:tcPr>
            <w:tcW w:w="4672" w:type="dxa"/>
          </w:tcPr>
          <w:p w14:paraId="5F389B78" w14:textId="3E8646F7"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6) перелік власних </w:t>
            </w:r>
            <w:proofErr w:type="spellStart"/>
            <w:r w:rsidRPr="00D15E15">
              <w:rPr>
                <w:color w:val="333333"/>
                <w:lang w:val="uk-UA"/>
              </w:rPr>
              <w:t>вебсайтів</w:t>
            </w:r>
            <w:proofErr w:type="spellEnd"/>
            <w:r w:rsidRPr="00D15E15">
              <w:rPr>
                <w:color w:val="333333"/>
                <w:lang w:val="uk-UA"/>
              </w:rPr>
              <w:t xml:space="preserve"> надавача фінансових послуг, які використовуються надавачем фінансових послуг для надання ним відповідних видів фінансових послуг та на яких здійснюється інформування про умови та порядок діяльності надавача фінансових послуг, умови та порядок надання ним фінансових послуг, а також обслуговування клієнтів</w:t>
            </w:r>
          </w:p>
        </w:tc>
        <w:tc>
          <w:tcPr>
            <w:tcW w:w="4673" w:type="dxa"/>
          </w:tcPr>
          <w:p w14:paraId="1CDA2693" w14:textId="19A5A57E" w:rsidR="00313156" w:rsidRDefault="00000000" w:rsidP="00E321DE">
            <w:pPr>
              <w:pStyle w:val="rvps2"/>
              <w:spacing w:before="0" w:beforeAutospacing="0" w:after="150" w:afterAutospacing="0"/>
              <w:jc w:val="both"/>
              <w:rPr>
                <w:b/>
                <w:bCs/>
                <w:color w:val="333333"/>
                <w:lang w:val="uk-UA"/>
              </w:rPr>
            </w:pPr>
            <w:hyperlink r:id="rId6" w:history="1">
              <w:r w:rsidR="00BA6314" w:rsidRPr="00EB5E03">
                <w:rPr>
                  <w:rStyle w:val="Hyperlink"/>
                  <w:b/>
                  <w:bCs/>
                  <w:lang w:val="uk-UA"/>
                </w:rPr>
                <w:t>http://sunfordcap.uafin.net</w:t>
              </w:r>
            </w:hyperlink>
          </w:p>
          <w:p w14:paraId="19B1458E" w14:textId="39130883" w:rsidR="00BA6314" w:rsidRPr="00D15E15" w:rsidRDefault="00BA6314" w:rsidP="00E321DE">
            <w:pPr>
              <w:pStyle w:val="rvps2"/>
              <w:spacing w:before="0" w:beforeAutospacing="0" w:after="150" w:afterAutospacing="0"/>
              <w:jc w:val="both"/>
              <w:rPr>
                <w:b/>
                <w:bCs/>
                <w:color w:val="333333"/>
                <w:lang w:val="uk-UA"/>
              </w:rPr>
            </w:pPr>
          </w:p>
        </w:tc>
      </w:tr>
      <w:tr w:rsidR="00E321DE" w:rsidRPr="008979DF" w14:paraId="50397F43" w14:textId="77777777" w:rsidTr="00E321DE">
        <w:tc>
          <w:tcPr>
            <w:tcW w:w="4672" w:type="dxa"/>
          </w:tcPr>
          <w:p w14:paraId="2E292A9C" w14:textId="4D435605"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7) перелік фінансових послуг, на надання яких має право надавач фінансових послуг, із зазначенням назв ліцензій на провадження діяльності з надання фінансових послуг, дати рішення про видачу ліцензії </w:t>
            </w:r>
          </w:p>
        </w:tc>
        <w:tc>
          <w:tcPr>
            <w:tcW w:w="4673" w:type="dxa"/>
          </w:tcPr>
          <w:p w14:paraId="4BB0D342" w14:textId="77777777" w:rsidR="005F2B1E" w:rsidRPr="008979DF" w:rsidRDefault="005F2B1E" w:rsidP="005F2B1E">
            <w:pPr>
              <w:pStyle w:val="rvps2"/>
              <w:spacing w:before="0" w:beforeAutospacing="0" w:after="150" w:afterAutospacing="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9DF">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Ліцензія на надання послуг фінансової компанії в частині</w:t>
            </w:r>
            <w:r w:rsidRPr="008979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EBD0B0" w14:textId="0FDFEF27" w:rsidR="005F2B1E" w:rsidRPr="008979DF" w:rsidRDefault="005F2B1E" w:rsidP="005F2B1E">
            <w:pPr>
              <w:pStyle w:val="rvps2"/>
              <w:spacing w:before="0" w:beforeAutospacing="0" w:after="150" w:afterAutospacing="0"/>
              <w:jc w:val="both"/>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9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79DF">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надання послуг факторингу,</w:t>
            </w:r>
          </w:p>
          <w:p w14:paraId="0FB1C330" w14:textId="054FB25B" w:rsidR="005F2B1E" w:rsidRPr="008979DF" w:rsidRDefault="005F2B1E" w:rsidP="005F2B1E">
            <w:pPr>
              <w:pStyle w:val="rvps2"/>
              <w:spacing w:before="0" w:beforeAutospacing="0" w:after="150" w:afterAutospacing="0"/>
              <w:jc w:val="both"/>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9DF">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видана Національним банком України 26.03.2024 року. </w:t>
            </w:r>
          </w:p>
          <w:p w14:paraId="69C9FEBB" w14:textId="77777777" w:rsidR="005F2B1E" w:rsidRPr="008979DF" w:rsidRDefault="005F2B1E" w:rsidP="005F2B1E">
            <w:pPr>
              <w:pStyle w:val="rvps2"/>
              <w:spacing w:before="0" w:beforeAutospacing="0" w:after="150" w:afterAutospacing="0"/>
              <w:jc w:val="both"/>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9DF">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Витяг з Державного реєстру фінансових установ додається.  </w:t>
            </w:r>
          </w:p>
          <w:p w14:paraId="37893A2E" w14:textId="77777777" w:rsidR="00E21D5D" w:rsidRPr="00E21D5D" w:rsidRDefault="00E21D5D" w:rsidP="00E21D5D">
            <w:pPr>
              <w:pStyle w:val="Heading1"/>
              <w:shd w:val="clear" w:color="auto" w:fill="FFFFFF"/>
              <w:spacing w:before="120" w:beforeAutospacing="0" w:after="0" w:afterAutospacing="0"/>
              <w:jc w:val="both"/>
              <w:rPr>
                <w:b w:val="0"/>
                <w:sz w:val="24"/>
                <w:szCs w:val="24"/>
                <w:lang w:val="uk-UA"/>
              </w:rPr>
            </w:pPr>
            <w:r w:rsidRPr="00E21D5D">
              <w:rPr>
                <w:rFonts w:eastAsiaTheme="minorHAnsi"/>
                <w:b w:val="0"/>
                <w:bCs w:val="0"/>
                <w:kern w:val="0"/>
                <w:sz w:val="24"/>
                <w:szCs w:val="24"/>
                <w:lang w:val="uk-UA" w:eastAsia="en-US"/>
              </w:rPr>
              <w:t>Сторінка офіційного Інтернет-представництва НБУ, на якій розміщено інструменти пошуку в Комплексній інформаційній системі Національного банку України, які надають можливість пошуку інформації в Державному реєстрі фінансових установ</w:t>
            </w:r>
            <w:r w:rsidRPr="00E21D5D">
              <w:rPr>
                <w:b w:val="0"/>
                <w:sz w:val="24"/>
                <w:szCs w:val="24"/>
                <w:lang w:val="uk-UA"/>
              </w:rPr>
              <w:t>:</w:t>
            </w:r>
          </w:p>
          <w:p w14:paraId="2689C084" w14:textId="77777777" w:rsidR="00E21D5D" w:rsidRPr="00904850" w:rsidRDefault="00000000" w:rsidP="00E21D5D">
            <w:pPr>
              <w:pStyle w:val="Heading1"/>
              <w:shd w:val="clear" w:color="auto" w:fill="FFFFFF"/>
              <w:spacing w:before="120" w:beforeAutospacing="0" w:after="0" w:afterAutospacing="0"/>
              <w:jc w:val="both"/>
              <w:rPr>
                <w:b w:val="0"/>
                <w:color w:val="5B9BD5" w:themeColor="accent1"/>
                <w:sz w:val="24"/>
                <w:szCs w:val="24"/>
                <w:lang w:val="uk-UA"/>
              </w:rPr>
            </w:pPr>
            <w:hyperlink r:id="rId7" w:history="1">
              <w:r w:rsidR="00E21D5D" w:rsidRPr="00904850">
                <w:rPr>
                  <w:rStyle w:val="Hyperlink"/>
                  <w:b w:val="0"/>
                  <w:color w:val="5B9BD5" w:themeColor="accent1"/>
                  <w:sz w:val="24"/>
                  <w:szCs w:val="24"/>
                  <w:lang w:val="uk-UA"/>
                </w:rPr>
                <w:t>https://kis.bank.gov.ua/</w:t>
              </w:r>
            </w:hyperlink>
          </w:p>
          <w:p w14:paraId="7C547C82" w14:textId="55ED3A2B" w:rsidR="00E21D5D" w:rsidRPr="00313156" w:rsidRDefault="00E21D5D" w:rsidP="00E321DE">
            <w:pPr>
              <w:pStyle w:val="rvps2"/>
              <w:spacing w:before="0" w:beforeAutospacing="0" w:after="150" w:afterAutospacing="0"/>
              <w:jc w:val="both"/>
              <w:rPr>
                <w:b/>
                <w:bCs/>
                <w:color w:val="333333"/>
                <w:lang w:val="uk-UA"/>
              </w:rPr>
            </w:pPr>
          </w:p>
        </w:tc>
      </w:tr>
      <w:tr w:rsidR="00E321DE" w:rsidRPr="00D15E15" w14:paraId="7A1A8DF5" w14:textId="77777777" w:rsidTr="00E321DE">
        <w:tc>
          <w:tcPr>
            <w:tcW w:w="4672" w:type="dxa"/>
          </w:tcPr>
          <w:p w14:paraId="787E022C" w14:textId="2633B0AA"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8) перелік осіб, які надають посередницькі послуги (якщо фінансова послуга надається за участю посередників)</w:t>
            </w:r>
          </w:p>
        </w:tc>
        <w:tc>
          <w:tcPr>
            <w:tcW w:w="4673" w:type="dxa"/>
          </w:tcPr>
          <w:p w14:paraId="152651BD" w14:textId="316106BE"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t>Фінансові послуги надаються без залучення осіб, які надають посередницькі послуги.</w:t>
            </w:r>
          </w:p>
        </w:tc>
      </w:tr>
      <w:tr w:rsidR="00E321DE" w:rsidRPr="00D15E15" w14:paraId="3831D0EA" w14:textId="77777777" w:rsidTr="00E321DE">
        <w:tc>
          <w:tcPr>
            <w:tcW w:w="4672" w:type="dxa"/>
          </w:tcPr>
          <w:p w14:paraId="0935FBE1" w14:textId="6248C981"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9) інформацію про умови та порядок надання фінансових послуг </w:t>
            </w:r>
          </w:p>
        </w:tc>
        <w:tc>
          <w:tcPr>
            <w:tcW w:w="4673" w:type="dxa"/>
          </w:tcPr>
          <w:p w14:paraId="5E925A83" w14:textId="77777777" w:rsidR="00BA6314" w:rsidRPr="00BA6314" w:rsidRDefault="00BA6314" w:rsidP="00BA6314">
            <w:pPr>
              <w:pStyle w:val="NormalWeb"/>
              <w:spacing w:before="75" w:beforeAutospacing="0" w:after="75" w:afterAutospacing="0"/>
              <w:jc w:val="both"/>
              <w:rPr>
                <w:color w:val="000000" w:themeColor="text1"/>
              </w:rPr>
            </w:pPr>
            <w:r w:rsidRPr="00BA6314">
              <w:rPr>
                <w:rStyle w:val="Strong"/>
                <w:color w:val="000000" w:themeColor="text1"/>
              </w:rPr>
              <w:t>Факторинг</w:t>
            </w:r>
          </w:p>
          <w:p w14:paraId="2FA73A51" w14:textId="77777777" w:rsidR="00BA6314" w:rsidRPr="00BA6314" w:rsidRDefault="00BA6314" w:rsidP="00BA6314">
            <w:pPr>
              <w:pStyle w:val="NormalWeb"/>
              <w:spacing w:before="75" w:beforeAutospacing="0" w:after="75" w:afterAutospacing="0"/>
              <w:jc w:val="both"/>
              <w:rPr>
                <w:color w:val="000000" w:themeColor="text1"/>
              </w:rPr>
            </w:pPr>
            <w:r w:rsidRPr="00BA6314">
              <w:rPr>
                <w:color w:val="000000" w:themeColor="text1"/>
              </w:rPr>
              <w:lastRenderedPageBreak/>
              <w:t xml:space="preserve">Послуги з викупу права вимоги грошових коштів за поставлену продукцію (виконані роботи, надані послуги) шляхом перерахування частини їх вартості у </w:t>
            </w:r>
            <w:r w:rsidRPr="00B31F5B">
              <w:rPr>
                <w:color w:val="000000" w:themeColor="text1"/>
              </w:rPr>
              <w:t>вигляді Авансу на поточний рахунок Клієнта - 2-3% від загальної суми прав вимоги (не менше 5 тис. грн.). Авансування в розмірі до 90%, строк фінансування до 120 днів.</w:t>
            </w:r>
          </w:p>
          <w:p w14:paraId="3D751064" w14:textId="77777777" w:rsidR="00BA6314" w:rsidRPr="00BA6314" w:rsidRDefault="00BA6314" w:rsidP="00BA6314">
            <w:pPr>
              <w:pStyle w:val="NormalWeb"/>
              <w:spacing w:before="75" w:beforeAutospacing="0" w:after="75" w:afterAutospacing="0"/>
              <w:jc w:val="both"/>
              <w:rPr>
                <w:rStyle w:val="Strong"/>
                <w:color w:val="000000" w:themeColor="text1"/>
              </w:rPr>
            </w:pPr>
          </w:p>
          <w:p w14:paraId="4F02936F" w14:textId="77777777" w:rsidR="00BA6314" w:rsidRPr="00BA6314" w:rsidRDefault="00BA6314" w:rsidP="00BA6314">
            <w:pPr>
              <w:shd w:val="clear" w:color="auto" w:fill="FFFFFF"/>
              <w:spacing w:before="180" w:after="180" w:line="300" w:lineRule="atLeast"/>
              <w:outlineLvl w:val="2"/>
              <w:rPr>
                <w:rFonts w:ascii="Times New Roman" w:hAnsi="Times New Roman" w:cs="Times New Roman"/>
                <w:sz w:val="24"/>
                <w:szCs w:val="24"/>
                <w:lang w:val="uk-UA"/>
              </w:rPr>
            </w:pPr>
            <w:r w:rsidRPr="00BA6314">
              <w:rPr>
                <w:rFonts w:ascii="Times New Roman" w:hAnsi="Times New Roman" w:cs="Times New Roman"/>
                <w:b/>
                <w:sz w:val="24"/>
                <w:szCs w:val="24"/>
                <w:lang w:val="uk-UA"/>
              </w:rPr>
              <w:t>Витрати для Споживача:</w:t>
            </w:r>
            <w:r w:rsidRPr="00BA6314">
              <w:rPr>
                <w:rFonts w:ascii="Times New Roman" w:hAnsi="Times New Roman" w:cs="Times New Roman"/>
                <w:sz w:val="24"/>
                <w:szCs w:val="24"/>
                <w:lang w:val="uk-UA"/>
              </w:rPr>
              <w:t xml:space="preserve"> </w:t>
            </w:r>
          </w:p>
          <w:p w14:paraId="30DEF1A0" w14:textId="77777777" w:rsidR="00BA6314" w:rsidRPr="00BA6314" w:rsidRDefault="00BA6314" w:rsidP="00BA6314">
            <w:pPr>
              <w:pStyle w:val="ListParagraph"/>
              <w:shd w:val="clear" w:color="auto" w:fill="FFFFFF"/>
              <w:spacing w:before="180" w:after="180" w:line="300" w:lineRule="atLeast"/>
              <w:outlineLvl w:val="2"/>
              <w:rPr>
                <w:rFonts w:ascii="Times New Roman" w:hAnsi="Times New Roman" w:cs="Times New Roman"/>
                <w:sz w:val="24"/>
                <w:szCs w:val="24"/>
                <w:lang w:val="uk-UA"/>
              </w:rPr>
            </w:pPr>
            <w:r w:rsidRPr="00BA6314">
              <w:rPr>
                <w:rFonts w:ascii="Times New Roman" w:hAnsi="Times New Roman" w:cs="Times New Roman"/>
                <w:sz w:val="24"/>
                <w:szCs w:val="24"/>
                <w:lang w:val="uk-UA"/>
              </w:rPr>
              <w:sym w:font="Symbol" w:char="F0B7"/>
            </w:r>
            <w:r w:rsidRPr="00BA6314">
              <w:rPr>
                <w:rFonts w:ascii="Times New Roman" w:hAnsi="Times New Roman" w:cs="Times New Roman"/>
                <w:sz w:val="24"/>
                <w:szCs w:val="24"/>
                <w:lang w:val="uk-UA"/>
              </w:rPr>
              <w:t xml:space="preserve"> загальна сума витрат за кредитом, права вимоги за яким викуплені Товариством згідно договору факторингу, - складається виключно з витрат, визначених умовами кредитного договору, з яким споживач ознайомлювався до моменту його укладення.</w:t>
            </w:r>
          </w:p>
          <w:p w14:paraId="73E85AF8" w14:textId="77777777" w:rsidR="00BA6314" w:rsidRPr="00BA6314" w:rsidRDefault="00BA6314" w:rsidP="00BA6314">
            <w:pPr>
              <w:pStyle w:val="ListParagraph"/>
              <w:shd w:val="clear" w:color="auto" w:fill="FFFFFF"/>
              <w:spacing w:before="180" w:after="180" w:line="300" w:lineRule="atLeast"/>
              <w:outlineLvl w:val="2"/>
              <w:rPr>
                <w:rFonts w:ascii="Times New Roman" w:hAnsi="Times New Roman" w:cs="Times New Roman"/>
                <w:b/>
                <w:bCs/>
                <w:sz w:val="24"/>
                <w:szCs w:val="24"/>
              </w:rPr>
            </w:pPr>
            <w:r w:rsidRPr="00BA6314">
              <w:rPr>
                <w:rFonts w:ascii="Times New Roman" w:hAnsi="Times New Roman" w:cs="Times New Roman"/>
                <w:sz w:val="24"/>
                <w:szCs w:val="24"/>
                <w:lang w:val="uk-UA"/>
              </w:rPr>
              <w:sym w:font="Symbol" w:char="F0B7"/>
            </w:r>
            <w:r w:rsidRPr="00BA6314">
              <w:rPr>
                <w:rFonts w:ascii="Times New Roman" w:hAnsi="Times New Roman" w:cs="Times New Roman"/>
                <w:sz w:val="24"/>
                <w:szCs w:val="24"/>
                <w:lang w:val="uk-UA"/>
              </w:rPr>
              <w:t xml:space="preserve"> розрахунок вартості фінансової послуги не включає податки. Отримання, повернення кредиту, сплата процентів не передбачають для Споживача зобов’язань щодо сплати податків та зборів до бюджету.</w:t>
            </w:r>
          </w:p>
          <w:p w14:paraId="33F6BFC0" w14:textId="77777777" w:rsidR="00BA6314" w:rsidRPr="00BA6314" w:rsidRDefault="00BA6314" w:rsidP="00BA6314">
            <w:pPr>
              <w:spacing w:before="100" w:beforeAutospacing="1" w:after="100" w:afterAutospacing="1"/>
              <w:rPr>
                <w:rFonts w:ascii="Times New Roman" w:hAnsi="Times New Roman" w:cs="Times New Roman"/>
                <w:color w:val="212529"/>
                <w:sz w:val="24"/>
                <w:szCs w:val="24"/>
              </w:rPr>
            </w:pPr>
            <w:proofErr w:type="spellStart"/>
            <w:r w:rsidRPr="00BA6314">
              <w:rPr>
                <w:rStyle w:val="Strong"/>
                <w:rFonts w:ascii="Times New Roman" w:hAnsi="Times New Roman" w:cs="Times New Roman"/>
                <w:color w:val="212529"/>
                <w:sz w:val="24"/>
                <w:szCs w:val="24"/>
              </w:rPr>
              <w:t>Розмір</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винагороди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фінансової</w:t>
            </w:r>
            <w:proofErr w:type="spellEnd"/>
            <w:r w:rsidRPr="00BA6314">
              <w:rPr>
                <w:rStyle w:val="Strong"/>
                <w:rFonts w:ascii="Times New Roman" w:hAnsi="Times New Roman" w:cs="Times New Roman"/>
                <w:color w:val="212529"/>
                <w:sz w:val="24"/>
                <w:szCs w:val="24"/>
              </w:rPr>
              <w:t xml:space="preserve"> установи у </w:t>
            </w:r>
            <w:proofErr w:type="spellStart"/>
            <w:r w:rsidRPr="00BA6314">
              <w:rPr>
                <w:rStyle w:val="Strong"/>
                <w:rFonts w:ascii="Times New Roman" w:hAnsi="Times New Roman" w:cs="Times New Roman"/>
                <w:color w:val="212529"/>
                <w:sz w:val="24"/>
                <w:szCs w:val="24"/>
              </w:rPr>
              <w:t>разі</w:t>
            </w:r>
            <w:proofErr w:type="spellEnd"/>
            <w:r w:rsidRPr="00BA6314">
              <w:rPr>
                <w:rStyle w:val="Strong"/>
                <w:rFonts w:ascii="Times New Roman" w:hAnsi="Times New Roman" w:cs="Times New Roman"/>
                <w:color w:val="212529"/>
                <w:sz w:val="24"/>
                <w:szCs w:val="24"/>
              </w:rPr>
              <w:t xml:space="preserve">, коли вона </w:t>
            </w:r>
            <w:proofErr w:type="spellStart"/>
            <w:r w:rsidRPr="00BA6314">
              <w:rPr>
                <w:rStyle w:val="Strong"/>
                <w:rFonts w:ascii="Times New Roman" w:hAnsi="Times New Roman" w:cs="Times New Roman"/>
                <w:color w:val="212529"/>
                <w:sz w:val="24"/>
                <w:szCs w:val="24"/>
              </w:rPr>
              <w:t>пропонує</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фінансові</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послуги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що</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надаються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іншими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фінансовими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установами</w:t>
            </w:r>
            <w:proofErr w:type="spellEnd"/>
            <w:r w:rsidRPr="00BA6314">
              <w:rPr>
                <w:rStyle w:val="apple-converted-space"/>
                <w:rFonts w:ascii="Times New Roman" w:hAnsi="Times New Roman" w:cs="Times New Roman"/>
                <w:color w:val="212529"/>
                <w:sz w:val="24"/>
                <w:szCs w:val="24"/>
              </w:rPr>
              <w:t> </w:t>
            </w:r>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фінансова</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установа</w:t>
            </w:r>
            <w:proofErr w:type="spellEnd"/>
            <w:r w:rsidRPr="00BA6314">
              <w:rPr>
                <w:rFonts w:ascii="Times New Roman" w:hAnsi="Times New Roman" w:cs="Times New Roman"/>
                <w:color w:val="212529"/>
                <w:sz w:val="24"/>
                <w:szCs w:val="24"/>
              </w:rPr>
              <w:t xml:space="preserve"> не </w:t>
            </w:r>
            <w:proofErr w:type="spellStart"/>
            <w:r w:rsidRPr="00BA6314">
              <w:rPr>
                <w:rFonts w:ascii="Times New Roman" w:hAnsi="Times New Roman" w:cs="Times New Roman"/>
                <w:color w:val="212529"/>
                <w:sz w:val="24"/>
                <w:szCs w:val="24"/>
              </w:rPr>
              <w:t>пропонує</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фінансові</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послуги</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що</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надаються</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іншими</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фінансовими</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установами</w:t>
            </w:r>
            <w:proofErr w:type="spellEnd"/>
            <w:r w:rsidRPr="00BA6314">
              <w:rPr>
                <w:rFonts w:ascii="Times New Roman" w:hAnsi="Times New Roman" w:cs="Times New Roman"/>
                <w:color w:val="212529"/>
                <w:sz w:val="24"/>
                <w:szCs w:val="24"/>
              </w:rPr>
              <w:t>.</w:t>
            </w:r>
          </w:p>
          <w:p w14:paraId="1C26F28F" w14:textId="77777777" w:rsidR="00BA6314" w:rsidRPr="00BA6314" w:rsidRDefault="00BA6314" w:rsidP="00BA6314">
            <w:pPr>
              <w:spacing w:before="100" w:beforeAutospacing="1" w:after="100" w:afterAutospacing="1"/>
              <w:rPr>
                <w:rFonts w:ascii="Times New Roman" w:hAnsi="Times New Roman" w:cs="Times New Roman"/>
                <w:color w:val="212529"/>
                <w:sz w:val="24"/>
                <w:szCs w:val="24"/>
              </w:rPr>
            </w:pPr>
            <w:proofErr w:type="spellStart"/>
            <w:r w:rsidRPr="00BA6314">
              <w:rPr>
                <w:rStyle w:val="Strong"/>
                <w:rFonts w:ascii="Times New Roman" w:hAnsi="Times New Roman" w:cs="Times New Roman"/>
                <w:color w:val="212529"/>
                <w:sz w:val="24"/>
                <w:szCs w:val="24"/>
              </w:rPr>
              <w:t>Умови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надання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додаткових</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фінансових</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послуг</w:t>
            </w:r>
            <w:proofErr w:type="spellEnd"/>
            <w:r w:rsidRPr="00BA6314">
              <w:rPr>
                <w:rStyle w:val="Strong"/>
                <w:rFonts w:ascii="Times New Roman" w:hAnsi="Times New Roman" w:cs="Times New Roman"/>
                <w:color w:val="212529"/>
                <w:sz w:val="24"/>
                <w:szCs w:val="24"/>
              </w:rPr>
              <w:t xml:space="preserve"> та </w:t>
            </w:r>
            <w:proofErr w:type="spellStart"/>
            <w:r w:rsidRPr="00BA6314">
              <w:rPr>
                <w:rStyle w:val="Strong"/>
                <w:rFonts w:ascii="Times New Roman" w:hAnsi="Times New Roman" w:cs="Times New Roman"/>
                <w:color w:val="212529"/>
                <w:sz w:val="24"/>
                <w:szCs w:val="24"/>
              </w:rPr>
              <w:t>їх</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вартість</w:t>
            </w:r>
            <w:proofErr w:type="spellEnd"/>
            <w:r w:rsidRPr="00BA6314">
              <w:rPr>
                <w:rStyle w:val="apple-converted-space"/>
                <w:rFonts w:ascii="Times New Roman" w:hAnsi="Times New Roman" w:cs="Times New Roman"/>
                <w:color w:val="212529"/>
                <w:sz w:val="24"/>
                <w:szCs w:val="24"/>
              </w:rPr>
              <w:t> </w:t>
            </w:r>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додаткові</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фінансові</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послуги</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фінансовою</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установою</w:t>
            </w:r>
            <w:proofErr w:type="spellEnd"/>
            <w:r w:rsidRPr="00BA6314">
              <w:rPr>
                <w:rFonts w:ascii="Times New Roman" w:hAnsi="Times New Roman" w:cs="Times New Roman"/>
                <w:color w:val="212529"/>
                <w:sz w:val="24"/>
                <w:szCs w:val="24"/>
              </w:rPr>
              <w:t xml:space="preserve"> не </w:t>
            </w:r>
            <w:proofErr w:type="spellStart"/>
            <w:r w:rsidRPr="00BA6314">
              <w:rPr>
                <w:rFonts w:ascii="Times New Roman" w:hAnsi="Times New Roman" w:cs="Times New Roman"/>
                <w:color w:val="212529"/>
                <w:sz w:val="24"/>
                <w:szCs w:val="24"/>
              </w:rPr>
              <w:t>надаються</w:t>
            </w:r>
            <w:proofErr w:type="spellEnd"/>
            <w:r w:rsidRPr="00BA6314">
              <w:rPr>
                <w:rFonts w:ascii="Times New Roman" w:hAnsi="Times New Roman" w:cs="Times New Roman"/>
                <w:color w:val="212529"/>
                <w:sz w:val="24"/>
                <w:szCs w:val="24"/>
              </w:rPr>
              <w:t>.</w:t>
            </w:r>
          </w:p>
          <w:p w14:paraId="1D340835" w14:textId="77777777" w:rsidR="00BA6314" w:rsidRPr="00BA6314" w:rsidRDefault="00BA6314" w:rsidP="00BA6314">
            <w:pPr>
              <w:spacing w:before="100" w:beforeAutospacing="1" w:after="100" w:afterAutospacing="1"/>
              <w:rPr>
                <w:rFonts w:ascii="Times New Roman" w:hAnsi="Times New Roman" w:cs="Times New Roman"/>
                <w:color w:val="212529"/>
                <w:sz w:val="24"/>
                <w:szCs w:val="24"/>
              </w:rPr>
            </w:pPr>
            <w:r w:rsidRPr="00BA6314">
              <w:rPr>
                <w:rStyle w:val="Strong"/>
                <w:rFonts w:ascii="Times New Roman" w:hAnsi="Times New Roman" w:cs="Times New Roman"/>
                <w:color w:val="212529"/>
                <w:sz w:val="24"/>
                <w:szCs w:val="24"/>
              </w:rPr>
              <w:t xml:space="preserve">Порядок </w:t>
            </w:r>
            <w:proofErr w:type="spellStart"/>
            <w:r w:rsidRPr="00BA6314">
              <w:rPr>
                <w:rStyle w:val="Strong"/>
                <w:rFonts w:ascii="Times New Roman" w:hAnsi="Times New Roman" w:cs="Times New Roman"/>
                <w:color w:val="212529"/>
                <w:sz w:val="24"/>
                <w:szCs w:val="24"/>
              </w:rPr>
              <w:t>сплати</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податків</w:t>
            </w:r>
            <w:proofErr w:type="spellEnd"/>
            <w:r w:rsidRPr="00BA6314">
              <w:rPr>
                <w:rStyle w:val="Strong"/>
                <w:rFonts w:ascii="Times New Roman" w:hAnsi="Times New Roman" w:cs="Times New Roman"/>
                <w:color w:val="212529"/>
                <w:sz w:val="24"/>
                <w:szCs w:val="24"/>
              </w:rPr>
              <w:t xml:space="preserve"> і </w:t>
            </w:r>
            <w:proofErr w:type="spellStart"/>
            <w:r w:rsidRPr="00BA6314">
              <w:rPr>
                <w:rStyle w:val="Strong"/>
                <w:rFonts w:ascii="Times New Roman" w:hAnsi="Times New Roman" w:cs="Times New Roman"/>
                <w:color w:val="212529"/>
                <w:sz w:val="24"/>
                <w:szCs w:val="24"/>
              </w:rPr>
              <w:t>зборів</w:t>
            </w:r>
            <w:proofErr w:type="spellEnd"/>
            <w:r w:rsidRPr="00BA6314">
              <w:rPr>
                <w:rStyle w:val="Strong"/>
                <w:rFonts w:ascii="Times New Roman" w:hAnsi="Times New Roman" w:cs="Times New Roman"/>
                <w:color w:val="212529"/>
                <w:sz w:val="24"/>
                <w:szCs w:val="24"/>
              </w:rPr>
              <w:t xml:space="preserve"> за </w:t>
            </w:r>
            <w:proofErr w:type="spellStart"/>
            <w:r w:rsidRPr="00BA6314">
              <w:rPr>
                <w:rStyle w:val="Strong"/>
                <w:rFonts w:ascii="Times New Roman" w:hAnsi="Times New Roman" w:cs="Times New Roman"/>
                <w:color w:val="212529"/>
                <w:sz w:val="24"/>
                <w:szCs w:val="24"/>
              </w:rPr>
              <w:t>рахунок</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фізичної</w:t>
            </w:r>
            <w:proofErr w:type="spellEnd"/>
            <w:r w:rsidRPr="00BA6314">
              <w:rPr>
                <w:rStyle w:val="Strong"/>
                <w:rFonts w:ascii="Times New Roman" w:hAnsi="Times New Roman" w:cs="Times New Roman"/>
                <w:color w:val="212529"/>
                <w:sz w:val="24"/>
                <w:szCs w:val="24"/>
              </w:rPr>
              <w:t xml:space="preserve"> особи в </w:t>
            </w:r>
            <w:proofErr w:type="spellStart"/>
            <w:r w:rsidRPr="00BA6314">
              <w:rPr>
                <w:rStyle w:val="Strong"/>
                <w:rFonts w:ascii="Times New Roman" w:hAnsi="Times New Roman" w:cs="Times New Roman"/>
                <w:color w:val="212529"/>
                <w:sz w:val="24"/>
                <w:szCs w:val="24"/>
              </w:rPr>
              <w:t>результаті</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отримання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фінансової</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послуги</w:t>
            </w:r>
            <w:proofErr w:type="spellEnd"/>
            <w:r w:rsidRPr="00BA6314">
              <w:rPr>
                <w:rFonts w:ascii="Times New Roman" w:hAnsi="Times New Roman" w:cs="Times New Roman"/>
                <w:color w:val="212529"/>
                <w:sz w:val="24"/>
                <w:szCs w:val="24"/>
              </w:rPr>
              <w:t xml:space="preserve">– не </w:t>
            </w:r>
            <w:proofErr w:type="spellStart"/>
            <w:r w:rsidRPr="00BA6314">
              <w:rPr>
                <w:rFonts w:ascii="Times New Roman" w:hAnsi="Times New Roman" w:cs="Times New Roman"/>
                <w:color w:val="212529"/>
                <w:sz w:val="24"/>
                <w:szCs w:val="24"/>
              </w:rPr>
              <w:t>передбачена</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сплата</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податків</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або</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зборів</w:t>
            </w:r>
            <w:proofErr w:type="spellEnd"/>
            <w:r w:rsidRPr="00BA6314">
              <w:rPr>
                <w:rFonts w:ascii="Times New Roman" w:hAnsi="Times New Roman" w:cs="Times New Roman"/>
                <w:color w:val="212529"/>
                <w:sz w:val="24"/>
                <w:szCs w:val="24"/>
              </w:rPr>
              <w:t xml:space="preserve"> за </w:t>
            </w:r>
            <w:proofErr w:type="spellStart"/>
            <w:r w:rsidRPr="00BA6314">
              <w:rPr>
                <w:rFonts w:ascii="Times New Roman" w:hAnsi="Times New Roman" w:cs="Times New Roman"/>
                <w:color w:val="212529"/>
                <w:sz w:val="24"/>
                <w:szCs w:val="24"/>
              </w:rPr>
              <w:t>рахунок</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позичальника</w:t>
            </w:r>
            <w:proofErr w:type="spellEnd"/>
            <w:r w:rsidRPr="00BA6314">
              <w:rPr>
                <w:rFonts w:ascii="Times New Roman" w:hAnsi="Times New Roman" w:cs="Times New Roman"/>
                <w:color w:val="212529"/>
                <w:sz w:val="24"/>
                <w:szCs w:val="24"/>
              </w:rPr>
              <w:t>.</w:t>
            </w:r>
          </w:p>
          <w:p w14:paraId="702B8BD4" w14:textId="77777777" w:rsidR="00BA6314" w:rsidRPr="00BA6314" w:rsidRDefault="00BA6314" w:rsidP="00BA6314">
            <w:pPr>
              <w:spacing w:before="100" w:beforeAutospacing="1" w:after="100" w:afterAutospacing="1"/>
              <w:rPr>
                <w:rStyle w:val="Strong"/>
                <w:rFonts w:ascii="Times New Roman" w:hAnsi="Times New Roman" w:cs="Times New Roman"/>
                <w:b w:val="0"/>
                <w:bCs w:val="0"/>
                <w:color w:val="212529"/>
                <w:sz w:val="24"/>
                <w:szCs w:val="24"/>
              </w:rPr>
            </w:pPr>
            <w:proofErr w:type="spellStart"/>
            <w:r w:rsidRPr="00BA6314">
              <w:rPr>
                <w:rStyle w:val="Strong"/>
                <w:rFonts w:ascii="Times New Roman" w:hAnsi="Times New Roman" w:cs="Times New Roman"/>
                <w:color w:val="212529"/>
                <w:sz w:val="24"/>
                <w:szCs w:val="24"/>
              </w:rPr>
              <w:t>Правові</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наслідки</w:t>
            </w:r>
            <w:proofErr w:type="spellEnd"/>
            <w:r w:rsidRPr="00BA6314">
              <w:rPr>
                <w:rStyle w:val="Strong"/>
                <w:rFonts w:ascii="Times New Roman" w:hAnsi="Times New Roman" w:cs="Times New Roman"/>
                <w:color w:val="212529"/>
                <w:sz w:val="24"/>
                <w:szCs w:val="24"/>
              </w:rPr>
              <w:t xml:space="preserve"> та порядок </w:t>
            </w:r>
            <w:proofErr w:type="spellStart"/>
            <w:r w:rsidRPr="00BA6314">
              <w:rPr>
                <w:rStyle w:val="Strong"/>
                <w:rFonts w:ascii="Times New Roman" w:hAnsi="Times New Roman" w:cs="Times New Roman"/>
                <w:color w:val="212529"/>
                <w:sz w:val="24"/>
                <w:szCs w:val="24"/>
              </w:rPr>
              <w:t>здійснення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розрахунків</w:t>
            </w:r>
            <w:proofErr w:type="spellEnd"/>
            <w:r w:rsidRPr="00BA6314">
              <w:rPr>
                <w:rStyle w:val="Strong"/>
                <w:rFonts w:ascii="Times New Roman" w:hAnsi="Times New Roman" w:cs="Times New Roman"/>
                <w:color w:val="212529"/>
                <w:sz w:val="24"/>
                <w:szCs w:val="24"/>
              </w:rPr>
              <w:t xml:space="preserve"> з </w:t>
            </w:r>
            <w:proofErr w:type="spellStart"/>
            <w:r w:rsidRPr="00BA6314">
              <w:rPr>
                <w:rStyle w:val="Strong"/>
                <w:rFonts w:ascii="Times New Roman" w:hAnsi="Times New Roman" w:cs="Times New Roman"/>
                <w:color w:val="212529"/>
                <w:sz w:val="24"/>
                <w:szCs w:val="24"/>
              </w:rPr>
              <w:t>фізичною</w:t>
            </w:r>
            <w:proofErr w:type="spellEnd"/>
            <w:r w:rsidRPr="00BA6314">
              <w:rPr>
                <w:rStyle w:val="Strong"/>
                <w:rFonts w:ascii="Times New Roman" w:hAnsi="Times New Roman" w:cs="Times New Roman"/>
                <w:color w:val="212529"/>
                <w:sz w:val="24"/>
                <w:szCs w:val="24"/>
              </w:rPr>
              <w:t xml:space="preserve"> особою </w:t>
            </w:r>
            <w:proofErr w:type="spellStart"/>
            <w:r w:rsidRPr="00BA6314">
              <w:rPr>
                <w:rStyle w:val="Strong"/>
                <w:rFonts w:ascii="Times New Roman" w:hAnsi="Times New Roman" w:cs="Times New Roman"/>
                <w:color w:val="212529"/>
                <w:sz w:val="24"/>
                <w:szCs w:val="24"/>
              </w:rPr>
              <w:t>внаслідок</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дострокового</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припинення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lastRenderedPageBreak/>
              <w:t>надання</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фінансової</w:t>
            </w:r>
            <w:proofErr w:type="spellEnd"/>
            <w:r w:rsidRPr="00BA6314">
              <w:rPr>
                <w:rStyle w:val="Strong"/>
                <w:rFonts w:ascii="Times New Roman" w:hAnsi="Times New Roman" w:cs="Times New Roman"/>
                <w:color w:val="212529"/>
                <w:sz w:val="24"/>
                <w:szCs w:val="24"/>
              </w:rPr>
              <w:t xml:space="preserve"> </w:t>
            </w:r>
            <w:proofErr w:type="spellStart"/>
            <w:r w:rsidRPr="00BA6314">
              <w:rPr>
                <w:rStyle w:val="Strong"/>
                <w:rFonts w:ascii="Times New Roman" w:hAnsi="Times New Roman" w:cs="Times New Roman"/>
                <w:color w:val="212529"/>
                <w:sz w:val="24"/>
                <w:szCs w:val="24"/>
              </w:rPr>
              <w:t>послуги</w:t>
            </w:r>
            <w:proofErr w:type="spellEnd"/>
            <w:r w:rsidRPr="00BA6314">
              <w:rPr>
                <w:rStyle w:val="apple-converted-space"/>
                <w:rFonts w:ascii="Times New Roman" w:hAnsi="Times New Roman" w:cs="Times New Roman"/>
                <w:color w:val="212529"/>
                <w:sz w:val="24"/>
                <w:szCs w:val="24"/>
              </w:rPr>
              <w:t> </w:t>
            </w:r>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визначені</w:t>
            </w:r>
            <w:proofErr w:type="spellEnd"/>
            <w:r w:rsidRPr="00BA6314">
              <w:rPr>
                <w:rFonts w:ascii="Times New Roman" w:hAnsi="Times New Roman" w:cs="Times New Roman"/>
                <w:color w:val="212529"/>
                <w:sz w:val="24"/>
                <w:szCs w:val="24"/>
              </w:rPr>
              <w:t xml:space="preserve"> </w:t>
            </w:r>
            <w:proofErr w:type="spellStart"/>
            <w:r w:rsidRPr="00BA6314">
              <w:rPr>
                <w:rFonts w:ascii="Times New Roman" w:hAnsi="Times New Roman" w:cs="Times New Roman"/>
                <w:color w:val="212529"/>
                <w:sz w:val="24"/>
                <w:szCs w:val="24"/>
              </w:rPr>
              <w:t>умовами</w:t>
            </w:r>
            <w:proofErr w:type="spellEnd"/>
            <w:r w:rsidRPr="00BA6314">
              <w:rPr>
                <w:rFonts w:ascii="Times New Roman" w:hAnsi="Times New Roman" w:cs="Times New Roman"/>
                <w:color w:val="212529"/>
                <w:sz w:val="24"/>
                <w:szCs w:val="24"/>
              </w:rPr>
              <w:t xml:space="preserve"> Правил </w:t>
            </w:r>
            <w:r w:rsidRPr="00BA6314">
              <w:rPr>
                <w:rFonts w:ascii="Times New Roman" w:hAnsi="Times New Roman" w:cs="Times New Roman"/>
                <w:color w:val="212529"/>
                <w:sz w:val="24"/>
                <w:szCs w:val="24"/>
                <w:lang w:val="uk-UA"/>
              </w:rPr>
              <w:t>надання фінансової послуги та договором</w:t>
            </w:r>
            <w:r w:rsidRPr="00BA6314">
              <w:rPr>
                <w:rFonts w:ascii="Times New Roman" w:hAnsi="Times New Roman" w:cs="Times New Roman"/>
                <w:color w:val="212529"/>
                <w:sz w:val="24"/>
                <w:szCs w:val="24"/>
              </w:rPr>
              <w:t>.</w:t>
            </w:r>
          </w:p>
          <w:p w14:paraId="51A03528" w14:textId="77777777" w:rsidR="00BA6314" w:rsidRPr="00BA6314" w:rsidRDefault="00BA6314" w:rsidP="00BA6314">
            <w:pPr>
              <w:spacing w:before="75" w:after="75"/>
              <w:jc w:val="both"/>
              <w:rPr>
                <w:rFonts w:ascii="Times New Roman" w:hAnsi="Times New Roman" w:cs="Times New Roman"/>
                <w:color w:val="000000" w:themeColor="text1"/>
                <w:sz w:val="24"/>
                <w:szCs w:val="24"/>
                <w:lang w:val="uk-UA"/>
              </w:rPr>
            </w:pPr>
            <w:r w:rsidRPr="00BA6314">
              <w:rPr>
                <w:rFonts w:ascii="Times New Roman" w:hAnsi="Times New Roman" w:cs="Times New Roman"/>
                <w:b/>
                <w:bCs/>
                <w:color w:val="000000" w:themeColor="text1"/>
                <w:sz w:val="24"/>
                <w:szCs w:val="24"/>
                <w:lang w:val="uk-UA"/>
              </w:rPr>
              <w:t>Загальна сума зборів, платежів та інших витрат, які повинен буде сплатити клієнт, включно з податками</w:t>
            </w:r>
            <w:r w:rsidRPr="00BA6314">
              <w:rPr>
                <w:rFonts w:ascii="Times New Roman" w:hAnsi="Times New Roman" w:cs="Times New Roman"/>
                <w:color w:val="000000" w:themeColor="text1"/>
                <w:sz w:val="24"/>
                <w:szCs w:val="24"/>
                <w:lang w:val="uk-UA"/>
              </w:rPr>
              <w:t xml:space="preserve">, визначається та надається клієнту до укладення договору про надання відповідної фінансової послуги. </w:t>
            </w:r>
            <w:proofErr w:type="spellStart"/>
            <w:r w:rsidRPr="00BA6314">
              <w:rPr>
                <w:rFonts w:ascii="Times New Roman" w:hAnsi="Times New Roman" w:cs="Times New Roman"/>
                <w:color w:val="000000" w:themeColor="text1"/>
                <w:sz w:val="24"/>
                <w:szCs w:val="24"/>
              </w:rPr>
              <w:t>Клієнт</w:t>
            </w:r>
            <w:proofErr w:type="spellEnd"/>
            <w:r w:rsidRPr="00BA6314">
              <w:rPr>
                <w:rFonts w:ascii="Times New Roman" w:hAnsi="Times New Roman" w:cs="Times New Roman"/>
                <w:color w:val="000000" w:themeColor="text1"/>
                <w:sz w:val="24"/>
                <w:szCs w:val="24"/>
              </w:rPr>
              <w:t xml:space="preserve"> не повинен </w:t>
            </w:r>
            <w:proofErr w:type="spellStart"/>
            <w:r w:rsidRPr="00BA6314">
              <w:rPr>
                <w:rFonts w:ascii="Times New Roman" w:hAnsi="Times New Roman" w:cs="Times New Roman"/>
                <w:color w:val="000000" w:themeColor="text1"/>
                <w:sz w:val="24"/>
                <w:szCs w:val="24"/>
              </w:rPr>
              <w:t>сплачувати</w:t>
            </w:r>
            <w:proofErr w:type="spellEnd"/>
            <w:r w:rsidRPr="00BA6314">
              <w:rPr>
                <w:rFonts w:ascii="Times New Roman" w:hAnsi="Times New Roman" w:cs="Times New Roman"/>
                <w:color w:val="000000" w:themeColor="text1"/>
                <w:sz w:val="24"/>
                <w:szCs w:val="24"/>
              </w:rPr>
              <w:t xml:space="preserve"> </w:t>
            </w:r>
            <w:proofErr w:type="spellStart"/>
            <w:r w:rsidRPr="00BA6314">
              <w:rPr>
                <w:rFonts w:ascii="Times New Roman" w:hAnsi="Times New Roman" w:cs="Times New Roman"/>
                <w:color w:val="000000" w:themeColor="text1"/>
                <w:sz w:val="24"/>
                <w:szCs w:val="24"/>
              </w:rPr>
              <w:t>податки</w:t>
            </w:r>
            <w:proofErr w:type="spellEnd"/>
            <w:r w:rsidRPr="00BA6314">
              <w:rPr>
                <w:rFonts w:ascii="Times New Roman" w:hAnsi="Times New Roman" w:cs="Times New Roman"/>
                <w:color w:val="000000" w:themeColor="text1"/>
                <w:sz w:val="24"/>
                <w:szCs w:val="24"/>
              </w:rPr>
              <w:t xml:space="preserve"> в </w:t>
            </w:r>
            <w:proofErr w:type="spellStart"/>
            <w:r w:rsidRPr="00BA6314">
              <w:rPr>
                <w:rFonts w:ascii="Times New Roman" w:hAnsi="Times New Roman" w:cs="Times New Roman"/>
                <w:color w:val="000000" w:themeColor="text1"/>
                <w:sz w:val="24"/>
                <w:szCs w:val="24"/>
              </w:rPr>
              <w:t>зв’язку</w:t>
            </w:r>
            <w:proofErr w:type="spellEnd"/>
            <w:r w:rsidRPr="00BA6314">
              <w:rPr>
                <w:rFonts w:ascii="Times New Roman" w:hAnsi="Times New Roman" w:cs="Times New Roman"/>
                <w:color w:val="000000" w:themeColor="text1"/>
                <w:sz w:val="24"/>
                <w:szCs w:val="24"/>
              </w:rPr>
              <w:t xml:space="preserve"> з </w:t>
            </w:r>
            <w:proofErr w:type="spellStart"/>
            <w:r w:rsidRPr="00BA6314">
              <w:rPr>
                <w:rFonts w:ascii="Times New Roman" w:hAnsi="Times New Roman" w:cs="Times New Roman"/>
                <w:color w:val="000000" w:themeColor="text1"/>
                <w:sz w:val="24"/>
                <w:szCs w:val="24"/>
              </w:rPr>
              <w:t>укладенням</w:t>
            </w:r>
            <w:proofErr w:type="spellEnd"/>
            <w:r w:rsidRPr="00BA6314">
              <w:rPr>
                <w:rFonts w:ascii="Times New Roman" w:hAnsi="Times New Roman" w:cs="Times New Roman"/>
                <w:color w:val="000000" w:themeColor="text1"/>
                <w:sz w:val="24"/>
                <w:szCs w:val="24"/>
              </w:rPr>
              <w:t xml:space="preserve"> договору про </w:t>
            </w:r>
            <w:proofErr w:type="spellStart"/>
            <w:r w:rsidRPr="00BA6314">
              <w:rPr>
                <w:rFonts w:ascii="Times New Roman" w:hAnsi="Times New Roman" w:cs="Times New Roman"/>
                <w:color w:val="000000" w:themeColor="text1"/>
                <w:sz w:val="24"/>
                <w:szCs w:val="24"/>
              </w:rPr>
              <w:t>надання</w:t>
            </w:r>
            <w:proofErr w:type="spellEnd"/>
            <w:r w:rsidRPr="00BA6314">
              <w:rPr>
                <w:rFonts w:ascii="Times New Roman" w:hAnsi="Times New Roman" w:cs="Times New Roman"/>
                <w:color w:val="000000" w:themeColor="text1"/>
                <w:sz w:val="24"/>
                <w:szCs w:val="24"/>
              </w:rPr>
              <w:t xml:space="preserve"> </w:t>
            </w:r>
            <w:proofErr w:type="spellStart"/>
            <w:r w:rsidRPr="00BA6314">
              <w:rPr>
                <w:rFonts w:ascii="Times New Roman" w:hAnsi="Times New Roman" w:cs="Times New Roman"/>
                <w:color w:val="000000" w:themeColor="text1"/>
                <w:sz w:val="24"/>
                <w:szCs w:val="24"/>
              </w:rPr>
              <w:t>фінансових</w:t>
            </w:r>
            <w:proofErr w:type="spellEnd"/>
            <w:r w:rsidRPr="00BA6314">
              <w:rPr>
                <w:rFonts w:ascii="Times New Roman" w:hAnsi="Times New Roman" w:cs="Times New Roman"/>
                <w:color w:val="000000" w:themeColor="text1"/>
                <w:sz w:val="24"/>
                <w:szCs w:val="24"/>
              </w:rPr>
              <w:t xml:space="preserve"> </w:t>
            </w:r>
            <w:proofErr w:type="spellStart"/>
            <w:r w:rsidRPr="00BA6314">
              <w:rPr>
                <w:rFonts w:ascii="Times New Roman" w:hAnsi="Times New Roman" w:cs="Times New Roman"/>
                <w:color w:val="000000" w:themeColor="text1"/>
                <w:sz w:val="24"/>
                <w:szCs w:val="24"/>
              </w:rPr>
              <w:t>послуг</w:t>
            </w:r>
            <w:proofErr w:type="spellEnd"/>
            <w:r w:rsidRPr="00BA6314">
              <w:rPr>
                <w:rFonts w:ascii="Times New Roman" w:hAnsi="Times New Roman" w:cs="Times New Roman"/>
                <w:color w:val="000000" w:themeColor="text1"/>
                <w:sz w:val="24"/>
                <w:szCs w:val="24"/>
              </w:rPr>
              <w:t>.</w:t>
            </w:r>
          </w:p>
          <w:p w14:paraId="0A242404" w14:textId="77777777" w:rsidR="00BA6314" w:rsidRPr="00BA6314" w:rsidRDefault="00BA6314" w:rsidP="00BA6314">
            <w:pPr>
              <w:pStyle w:val="NormalWeb"/>
              <w:spacing w:before="75" w:beforeAutospacing="0" w:after="75" w:afterAutospacing="0"/>
              <w:rPr>
                <w:b/>
                <w:bCs/>
                <w:color w:val="000000" w:themeColor="text1"/>
              </w:rPr>
            </w:pPr>
          </w:p>
          <w:p w14:paraId="278650D2" w14:textId="77777777" w:rsidR="00BA6314" w:rsidRPr="00BA6314" w:rsidRDefault="00BA6314" w:rsidP="00BA6314">
            <w:pPr>
              <w:pStyle w:val="NormalWeb"/>
              <w:spacing w:before="75" w:beforeAutospacing="0" w:after="75" w:afterAutospacing="0"/>
              <w:rPr>
                <w:color w:val="000000" w:themeColor="text1"/>
              </w:rPr>
            </w:pPr>
            <w:r w:rsidRPr="00BA6314">
              <w:rPr>
                <w:b/>
                <w:bCs/>
                <w:color w:val="000000" w:themeColor="text1"/>
              </w:rPr>
              <w:t>Наявність у клієнта права на відмову від договору про надання фінансових послуг та строк протягом якого клієнтом може бути використано право на відмову від договору</w:t>
            </w:r>
            <w:r w:rsidRPr="00BA6314">
              <w:rPr>
                <w:color w:val="000000" w:themeColor="text1"/>
              </w:rPr>
              <w:t>, а також інші умови використання такого права визначається умовами договору про надання фінансової послуги.</w:t>
            </w:r>
          </w:p>
          <w:p w14:paraId="66D757F0" w14:textId="77777777" w:rsidR="00BA6314" w:rsidRPr="00BA6314" w:rsidRDefault="00BA6314" w:rsidP="00BA6314">
            <w:pPr>
              <w:pStyle w:val="NormalWeb"/>
              <w:spacing w:before="75" w:beforeAutospacing="0" w:after="75" w:afterAutospacing="0"/>
              <w:rPr>
                <w:color w:val="000000" w:themeColor="text1"/>
              </w:rPr>
            </w:pPr>
          </w:p>
          <w:p w14:paraId="6E556F3F" w14:textId="77777777" w:rsidR="00BA6314" w:rsidRPr="00BA6314" w:rsidRDefault="00BA6314" w:rsidP="00BA6314">
            <w:pPr>
              <w:pStyle w:val="NormalWeb"/>
              <w:spacing w:before="75" w:beforeAutospacing="0" w:after="75" w:afterAutospacing="0"/>
              <w:rPr>
                <w:color w:val="000000" w:themeColor="text1"/>
              </w:rPr>
            </w:pPr>
            <w:r w:rsidRPr="00BA6314">
              <w:rPr>
                <w:b/>
                <w:bCs/>
                <w:color w:val="000000" w:themeColor="text1"/>
              </w:rPr>
              <w:t>Мінімальний строк дії договору про надання фінансових послуг</w:t>
            </w:r>
            <w:r w:rsidRPr="00BA6314">
              <w:rPr>
                <w:color w:val="000000" w:themeColor="text1"/>
              </w:rPr>
              <w:t xml:space="preserve"> – не застосовується.</w:t>
            </w:r>
          </w:p>
          <w:p w14:paraId="5E99B4A7" w14:textId="77777777" w:rsidR="00BA6314" w:rsidRPr="00BA6314" w:rsidRDefault="00BA6314" w:rsidP="00BA6314">
            <w:pPr>
              <w:pStyle w:val="NormalWeb"/>
              <w:spacing w:before="75" w:beforeAutospacing="0" w:after="75" w:afterAutospacing="0"/>
              <w:rPr>
                <w:b/>
                <w:bCs/>
                <w:color w:val="000000" w:themeColor="text1"/>
              </w:rPr>
            </w:pPr>
          </w:p>
          <w:p w14:paraId="49B452BE" w14:textId="77777777" w:rsidR="00BA6314" w:rsidRPr="00BA6314" w:rsidRDefault="00BA6314" w:rsidP="00BA6314">
            <w:pPr>
              <w:pStyle w:val="NormalWeb"/>
              <w:spacing w:before="75" w:beforeAutospacing="0" w:after="75" w:afterAutospacing="0"/>
              <w:rPr>
                <w:color w:val="000000" w:themeColor="text1"/>
              </w:rPr>
            </w:pPr>
            <w:r w:rsidRPr="00BA6314">
              <w:rPr>
                <w:b/>
                <w:bCs/>
                <w:color w:val="000000" w:themeColor="text1"/>
              </w:rPr>
              <w:t>Наявність у клієнта права розірвати чи припинити договір, право дострокового виконання договору, а також наслідки таких дій</w:t>
            </w:r>
            <w:r w:rsidRPr="00BA6314">
              <w:rPr>
                <w:color w:val="000000" w:themeColor="text1"/>
              </w:rPr>
              <w:t xml:space="preserve"> – інформація зазначена в примірному договорі, розміщеному на цьому сайті.</w:t>
            </w:r>
          </w:p>
          <w:p w14:paraId="25D72854" w14:textId="77777777" w:rsidR="00BA6314" w:rsidRPr="00BA6314" w:rsidRDefault="00BA6314" w:rsidP="00BA6314">
            <w:pPr>
              <w:pStyle w:val="NormalWeb"/>
              <w:spacing w:before="75" w:beforeAutospacing="0" w:after="75" w:afterAutospacing="0"/>
              <w:rPr>
                <w:b/>
                <w:bCs/>
                <w:color w:val="000000" w:themeColor="text1"/>
              </w:rPr>
            </w:pPr>
          </w:p>
          <w:p w14:paraId="770C915F" w14:textId="44738737" w:rsidR="00E259E6" w:rsidRPr="00BA6314" w:rsidRDefault="00BA6314" w:rsidP="00BA6314">
            <w:pPr>
              <w:pStyle w:val="NormalWeb"/>
              <w:spacing w:before="75" w:beforeAutospacing="0" w:after="75" w:afterAutospacing="0"/>
              <w:rPr>
                <w:color w:val="000000" w:themeColor="text1"/>
              </w:rPr>
            </w:pPr>
            <w:r w:rsidRPr="00BA6314">
              <w:rPr>
                <w:b/>
                <w:bCs/>
                <w:color w:val="000000" w:themeColor="text1"/>
              </w:rPr>
              <w:t>Порядок внесення змін та доповнень до договору</w:t>
            </w:r>
            <w:r w:rsidRPr="00BA6314">
              <w:rPr>
                <w:color w:val="000000" w:themeColor="text1"/>
              </w:rPr>
              <w:t xml:space="preserve"> – інформація зазначена в примірному договорі, розміщеному на цьому сайті.</w:t>
            </w:r>
            <w:r w:rsidR="00A74910" w:rsidRPr="00BA6314">
              <w:rPr>
                <w:lang w:eastAsia="en-GB"/>
              </w:rPr>
              <w:t xml:space="preserve"> </w:t>
            </w:r>
          </w:p>
        </w:tc>
      </w:tr>
      <w:tr w:rsidR="00E321DE" w:rsidRPr="00447968" w14:paraId="61CC0695" w14:textId="77777777" w:rsidTr="00E321DE">
        <w:tc>
          <w:tcPr>
            <w:tcW w:w="4672" w:type="dxa"/>
          </w:tcPr>
          <w:p w14:paraId="3F9AA8E2" w14:textId="35B5E718"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lastRenderedPageBreak/>
              <w:t>10) відомості про режим робочого часу надавача фінансових послуг, протягом якого здійснюється надання відповідних видів фінансових послуг, а саме робочі та вихідні дні, робочі години та години перерви;</w:t>
            </w:r>
          </w:p>
        </w:tc>
        <w:tc>
          <w:tcPr>
            <w:tcW w:w="4673" w:type="dxa"/>
          </w:tcPr>
          <w:p w14:paraId="080AD535" w14:textId="68177B55" w:rsidR="00447968" w:rsidRPr="00447968" w:rsidRDefault="00447968" w:rsidP="00447968">
            <w:pPr>
              <w:contextualSpacing/>
              <w:rPr>
                <w:rFonts w:ascii="Times New Roman" w:eastAsia="Times New Roman" w:hAnsi="Times New Roman" w:cs="Times New Roman"/>
                <w:b/>
                <w:bCs/>
                <w:sz w:val="24"/>
                <w:szCs w:val="24"/>
                <w:lang w:val="uk-UA" w:eastAsia="uk-UA"/>
              </w:rPr>
            </w:pPr>
            <w:r w:rsidRPr="00447968">
              <w:rPr>
                <w:rFonts w:ascii="Times New Roman" w:eastAsia="Times New Roman" w:hAnsi="Times New Roman" w:cs="Times New Roman"/>
                <w:b/>
                <w:bCs/>
                <w:sz w:val="24"/>
                <w:szCs w:val="24"/>
                <w:lang w:val="uk-UA" w:eastAsia="uk-UA"/>
              </w:rPr>
              <w:t>Пн – Пт: з 9:00 до 18:00</w:t>
            </w:r>
            <w:r w:rsidRPr="00447968">
              <w:rPr>
                <w:rFonts w:ascii="Times New Roman" w:eastAsia="Times New Roman" w:hAnsi="Times New Roman" w:cs="Times New Roman"/>
                <w:b/>
                <w:bCs/>
                <w:sz w:val="24"/>
                <w:szCs w:val="24"/>
                <w:lang w:val="uk-UA" w:eastAsia="uk-UA"/>
              </w:rPr>
              <w:br/>
            </w:r>
            <w:r w:rsidR="00BA6314">
              <w:rPr>
                <w:rFonts w:ascii="Times New Roman" w:eastAsia="Times New Roman" w:hAnsi="Times New Roman" w:cs="Times New Roman"/>
                <w:b/>
                <w:bCs/>
                <w:sz w:val="24"/>
                <w:szCs w:val="24"/>
                <w:lang w:val="uk-UA" w:eastAsia="uk-UA"/>
              </w:rPr>
              <w:t>П</w:t>
            </w:r>
            <w:r w:rsidRPr="00447968">
              <w:rPr>
                <w:rFonts w:ascii="Times New Roman" w:eastAsia="Times New Roman" w:hAnsi="Times New Roman" w:cs="Times New Roman"/>
                <w:b/>
                <w:bCs/>
                <w:sz w:val="24"/>
                <w:szCs w:val="24"/>
                <w:lang w:val="uk-UA" w:eastAsia="uk-UA"/>
              </w:rPr>
              <w:t>ерерв</w:t>
            </w:r>
            <w:r w:rsidR="00BA6314">
              <w:rPr>
                <w:rFonts w:ascii="Times New Roman" w:eastAsia="Times New Roman" w:hAnsi="Times New Roman" w:cs="Times New Roman"/>
                <w:b/>
                <w:bCs/>
                <w:sz w:val="24"/>
                <w:szCs w:val="24"/>
                <w:lang w:val="uk-UA" w:eastAsia="uk-UA"/>
              </w:rPr>
              <w:t>а з 13</w:t>
            </w:r>
            <w:r w:rsidR="00BA6314">
              <w:rPr>
                <w:rFonts w:ascii="Times New Roman" w:eastAsia="Times New Roman" w:hAnsi="Times New Roman" w:cs="Times New Roman"/>
                <w:b/>
                <w:bCs/>
                <w:sz w:val="24"/>
                <w:szCs w:val="24"/>
                <w:lang w:eastAsia="uk-UA"/>
              </w:rPr>
              <w:t>:00 до 14:00</w:t>
            </w:r>
            <w:r w:rsidRPr="00447968">
              <w:rPr>
                <w:rFonts w:ascii="Times New Roman" w:eastAsia="Times New Roman" w:hAnsi="Times New Roman" w:cs="Times New Roman"/>
                <w:b/>
                <w:bCs/>
                <w:sz w:val="24"/>
                <w:szCs w:val="24"/>
                <w:lang w:val="uk-UA" w:eastAsia="uk-UA"/>
              </w:rPr>
              <w:t xml:space="preserve">, субота й неділя - вихідні. </w:t>
            </w:r>
          </w:p>
          <w:p w14:paraId="2B4DC6B0" w14:textId="779AC880" w:rsidR="00736233" w:rsidRPr="00D15E15" w:rsidRDefault="00736233" w:rsidP="00BA6314">
            <w:pPr>
              <w:contextualSpacing/>
              <w:rPr>
                <w:color w:val="333333"/>
                <w:lang w:val="uk-UA"/>
              </w:rPr>
            </w:pPr>
          </w:p>
        </w:tc>
      </w:tr>
      <w:tr w:rsidR="00E321DE" w:rsidRPr="00447968" w14:paraId="031E65D2" w14:textId="77777777" w:rsidTr="00E321DE">
        <w:tc>
          <w:tcPr>
            <w:tcW w:w="4672" w:type="dxa"/>
          </w:tcPr>
          <w:p w14:paraId="4B34403A" w14:textId="5FBE3207"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11) перелік відокремлених підрозділів надавача фінансових послуг (далі - відокремлені підрозділи)</w:t>
            </w:r>
          </w:p>
        </w:tc>
        <w:tc>
          <w:tcPr>
            <w:tcW w:w="4673" w:type="dxa"/>
          </w:tcPr>
          <w:p w14:paraId="2E90C691" w14:textId="79B36F32" w:rsidR="00E321DE" w:rsidRPr="00E259E6" w:rsidRDefault="00447968" w:rsidP="00447968">
            <w:pPr>
              <w:contextualSpacing/>
              <w:rPr>
                <w:b/>
                <w:bCs/>
                <w:color w:val="333333"/>
                <w:highlight w:val="yellow"/>
                <w:lang w:val="uk-UA"/>
              </w:rPr>
            </w:pPr>
            <w:r w:rsidRPr="00447968">
              <w:rPr>
                <w:rFonts w:ascii="Times New Roman" w:eastAsia="Times New Roman" w:hAnsi="Times New Roman" w:cs="Times New Roman"/>
                <w:b/>
                <w:bCs/>
                <w:sz w:val="24"/>
                <w:szCs w:val="24"/>
                <w:lang w:val="uk-UA" w:eastAsia="uk-UA"/>
              </w:rPr>
              <w:t>Відокремлені підрозділи відсутні.</w:t>
            </w:r>
          </w:p>
        </w:tc>
      </w:tr>
      <w:tr w:rsidR="00E321DE" w:rsidRPr="00D15E15" w14:paraId="4F9E9C79" w14:textId="77777777" w:rsidTr="00E321DE">
        <w:tc>
          <w:tcPr>
            <w:tcW w:w="4672" w:type="dxa"/>
          </w:tcPr>
          <w:p w14:paraId="0F5D0186" w14:textId="7FDC6827"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 xml:space="preserve">12) відомості про порушення провадження в справі про банкрутство, застосування </w:t>
            </w:r>
            <w:r w:rsidRPr="00D15E15">
              <w:rPr>
                <w:color w:val="333333"/>
                <w:lang w:val="uk-UA"/>
              </w:rPr>
              <w:lastRenderedPageBreak/>
              <w:t>процедури санації надавача фінансових послуг із зазначенням інформації про факт порушення справи про банкрутство надавача фінансових послуг, відкриття процедури санації надавача фінансових послуг, дати порушення справи про банкрутство, дати відкриття процедури санації надавача фінансових послуг та найменування суду, який постановив відповідну ухвалу</w:t>
            </w:r>
          </w:p>
        </w:tc>
        <w:tc>
          <w:tcPr>
            <w:tcW w:w="4673" w:type="dxa"/>
          </w:tcPr>
          <w:p w14:paraId="7ABCEA3A" w14:textId="72704EB5"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lastRenderedPageBreak/>
              <w:t>Провадження в справі про банкрутство щодо ТОВ «</w:t>
            </w:r>
            <w:r w:rsidR="00BA6314">
              <w:rPr>
                <w:b/>
                <w:bCs/>
                <w:color w:val="333333"/>
                <w:lang w:val="uk-UA"/>
              </w:rPr>
              <w:t>САНФОРД КАПІТАЛ</w:t>
            </w:r>
            <w:r w:rsidRPr="00D15E15">
              <w:rPr>
                <w:b/>
                <w:bCs/>
                <w:color w:val="333333"/>
                <w:lang w:val="uk-UA"/>
              </w:rPr>
              <w:t xml:space="preserve">» не </w:t>
            </w:r>
            <w:r w:rsidRPr="00D15E15">
              <w:rPr>
                <w:b/>
                <w:bCs/>
                <w:color w:val="333333"/>
                <w:lang w:val="uk-UA"/>
              </w:rPr>
              <w:lastRenderedPageBreak/>
              <w:t>порушувались, процедури санації не застосовувались.</w:t>
            </w:r>
          </w:p>
          <w:p w14:paraId="7E103A6E" w14:textId="7002AB42" w:rsidR="00E321DE" w:rsidRPr="00D15E15" w:rsidRDefault="00E321DE" w:rsidP="00E321DE">
            <w:pPr>
              <w:pStyle w:val="rvps2"/>
              <w:spacing w:before="0" w:beforeAutospacing="0" w:after="150" w:afterAutospacing="0"/>
              <w:jc w:val="both"/>
              <w:rPr>
                <w:color w:val="333333"/>
                <w:lang w:val="uk-UA"/>
              </w:rPr>
            </w:pPr>
          </w:p>
        </w:tc>
      </w:tr>
      <w:tr w:rsidR="00E321DE" w:rsidRPr="00447968" w14:paraId="42DFC3B8" w14:textId="77777777" w:rsidTr="00E321DE">
        <w:tc>
          <w:tcPr>
            <w:tcW w:w="4672" w:type="dxa"/>
          </w:tcPr>
          <w:p w14:paraId="11F6991C" w14:textId="0F30221C"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lastRenderedPageBreak/>
              <w:t>13) відомості про початок процедури ліквідації надавача фінансових послуг із зазначенням дати прийняття рішення про відкриття ліквідаційної процедури надавача фінансових послуг та найменування органу надавача фінансових послуг або суду, який прийняв відповідне рішення</w:t>
            </w:r>
          </w:p>
        </w:tc>
        <w:tc>
          <w:tcPr>
            <w:tcW w:w="4673" w:type="dxa"/>
          </w:tcPr>
          <w:p w14:paraId="3C5C7ACC" w14:textId="654CF68F"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t>Рішення про відкриття ліквідаційної процедури ТОВ «</w:t>
            </w:r>
            <w:r w:rsidR="00BA6314">
              <w:rPr>
                <w:b/>
                <w:bCs/>
                <w:color w:val="333333"/>
                <w:lang w:val="uk-UA"/>
              </w:rPr>
              <w:t>САНФОРД КАПІТАЛ</w:t>
            </w:r>
            <w:r w:rsidRPr="00D15E15">
              <w:rPr>
                <w:b/>
                <w:bCs/>
                <w:color w:val="333333"/>
                <w:lang w:val="uk-UA"/>
              </w:rPr>
              <w:t>» не приймалися.</w:t>
            </w:r>
          </w:p>
        </w:tc>
      </w:tr>
      <w:tr w:rsidR="00E321DE" w:rsidRPr="00D15E15" w14:paraId="2AE962C4" w14:textId="77777777" w:rsidTr="00E321DE">
        <w:tc>
          <w:tcPr>
            <w:tcW w:w="4672" w:type="dxa"/>
          </w:tcPr>
          <w:p w14:paraId="622EE8F5" w14:textId="5EE2E6C3"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14) річна фінансова та консолідована фінансову звітність</w:t>
            </w:r>
          </w:p>
        </w:tc>
        <w:tc>
          <w:tcPr>
            <w:tcW w:w="4673" w:type="dxa"/>
          </w:tcPr>
          <w:p w14:paraId="3CABEE7F" w14:textId="7A78BFDF" w:rsidR="00E321DE" w:rsidRPr="00D15E15" w:rsidRDefault="00447968" w:rsidP="00E321DE">
            <w:pPr>
              <w:pStyle w:val="rvps2"/>
              <w:spacing w:before="0" w:beforeAutospacing="0" w:after="150" w:afterAutospacing="0"/>
              <w:jc w:val="both"/>
              <w:rPr>
                <w:b/>
                <w:bCs/>
                <w:color w:val="0070C0"/>
                <w:lang w:val="uk-UA"/>
              </w:rPr>
            </w:pPr>
            <w:r w:rsidRPr="00447968">
              <w:rPr>
                <w:b/>
                <w:bCs/>
                <w:lang w:val="uk-UA"/>
              </w:rPr>
              <w:t xml:space="preserve">Інформація викладена на веб-сайті Товариства в розділі </w:t>
            </w:r>
            <w:r>
              <w:rPr>
                <w:b/>
                <w:bCs/>
                <w:color w:val="0070C0"/>
                <w:lang w:val="uk-UA"/>
              </w:rPr>
              <w:t>«</w:t>
            </w:r>
            <w:r w:rsidR="00BA6314">
              <w:rPr>
                <w:b/>
                <w:bCs/>
                <w:color w:val="0070C0"/>
                <w:lang w:val="uk-UA"/>
              </w:rPr>
              <w:t>Фінансова звітність</w:t>
            </w:r>
            <w:r>
              <w:rPr>
                <w:b/>
                <w:bCs/>
                <w:color w:val="0070C0"/>
                <w:lang w:val="uk-UA"/>
              </w:rPr>
              <w:t>»</w:t>
            </w:r>
          </w:p>
        </w:tc>
      </w:tr>
      <w:tr w:rsidR="00E321DE" w:rsidRPr="008979DF" w14:paraId="736FA1F9" w14:textId="77777777" w:rsidTr="00E321DE">
        <w:tc>
          <w:tcPr>
            <w:tcW w:w="4672" w:type="dxa"/>
          </w:tcPr>
          <w:p w14:paraId="0F7260AF" w14:textId="39CC0CBC"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15) інша інформація про надавача фінансових послуг, що підлягає оприлюдненню відповідно до законодавства України</w:t>
            </w:r>
            <w:r w:rsidR="00D15E15">
              <w:rPr>
                <w:color w:val="333333"/>
                <w:lang w:val="uk-UA"/>
              </w:rPr>
              <w:t>.</w:t>
            </w:r>
          </w:p>
        </w:tc>
        <w:tc>
          <w:tcPr>
            <w:tcW w:w="4673" w:type="dxa"/>
          </w:tcPr>
          <w:p w14:paraId="429843DA" w14:textId="2DB06536" w:rsidR="00E321DE" w:rsidRPr="00D15E15" w:rsidRDefault="00E321DE" w:rsidP="00E321DE">
            <w:pPr>
              <w:shd w:val="clear" w:color="auto" w:fill="FFFFFF"/>
              <w:spacing w:after="135"/>
              <w:rPr>
                <w:rFonts w:ascii="Times New Roman" w:eastAsia="Times New Roman" w:hAnsi="Times New Roman" w:cs="Times New Roman"/>
                <w:b/>
                <w:bCs/>
                <w:color w:val="333333"/>
                <w:sz w:val="24"/>
                <w:szCs w:val="24"/>
                <w:lang w:val="uk-UA" w:eastAsia="en-GB"/>
              </w:rPr>
            </w:pPr>
            <w:r w:rsidRPr="00D15E15">
              <w:rPr>
                <w:rFonts w:ascii="Times New Roman" w:eastAsia="Times New Roman" w:hAnsi="Times New Roman" w:cs="Times New Roman"/>
                <w:b/>
                <w:bCs/>
                <w:color w:val="333333"/>
                <w:sz w:val="24"/>
                <w:szCs w:val="24"/>
                <w:lang w:val="uk-UA" w:eastAsia="en-GB"/>
              </w:rPr>
              <w:t xml:space="preserve">Розмір статутного капіталу </w:t>
            </w:r>
            <w:r w:rsidR="00BA6314">
              <w:rPr>
                <w:rFonts w:ascii="Times New Roman" w:eastAsia="Times New Roman" w:hAnsi="Times New Roman" w:cs="Times New Roman"/>
                <w:b/>
                <w:bCs/>
                <w:color w:val="333333"/>
                <w:sz w:val="24"/>
                <w:szCs w:val="24"/>
                <w:lang w:val="uk-UA" w:eastAsia="en-GB"/>
              </w:rPr>
              <w:t>5</w:t>
            </w:r>
            <w:r w:rsidRPr="00D15E15">
              <w:rPr>
                <w:rFonts w:ascii="Times New Roman" w:eastAsia="Times New Roman" w:hAnsi="Times New Roman" w:cs="Times New Roman"/>
                <w:b/>
                <w:bCs/>
                <w:color w:val="333333"/>
                <w:sz w:val="24"/>
                <w:szCs w:val="24"/>
                <w:lang w:val="uk-UA" w:eastAsia="en-GB"/>
              </w:rPr>
              <w:t> 000 000,00 гривень</w:t>
            </w:r>
            <w:r w:rsidR="00D15E15" w:rsidRPr="00D15E15">
              <w:rPr>
                <w:rFonts w:ascii="Times New Roman" w:eastAsia="Times New Roman" w:hAnsi="Times New Roman" w:cs="Times New Roman"/>
                <w:b/>
                <w:bCs/>
                <w:color w:val="333333"/>
                <w:sz w:val="24"/>
                <w:szCs w:val="24"/>
                <w:lang w:val="uk-UA" w:eastAsia="en-GB"/>
              </w:rPr>
              <w:t>.</w:t>
            </w:r>
          </w:p>
          <w:p w14:paraId="137725CF" w14:textId="302AB18D" w:rsidR="00D15E15" w:rsidRPr="00D15E15" w:rsidRDefault="00D15E15" w:rsidP="00E321DE">
            <w:pPr>
              <w:shd w:val="clear" w:color="auto" w:fill="FFFFFF"/>
              <w:spacing w:after="135"/>
              <w:rPr>
                <w:rFonts w:ascii="Times New Roman" w:eastAsia="Times New Roman" w:hAnsi="Times New Roman" w:cs="Times New Roman"/>
                <w:b/>
                <w:bCs/>
                <w:color w:val="333333"/>
                <w:sz w:val="24"/>
                <w:szCs w:val="24"/>
                <w:lang w:val="uk-UA" w:eastAsia="en-GB"/>
              </w:rPr>
            </w:pPr>
            <w:r w:rsidRPr="00D15E15">
              <w:rPr>
                <w:rFonts w:ascii="Times New Roman" w:eastAsia="Times New Roman" w:hAnsi="Times New Roman" w:cs="Times New Roman"/>
                <w:b/>
                <w:bCs/>
                <w:color w:val="333333"/>
                <w:sz w:val="24"/>
                <w:szCs w:val="24"/>
                <w:lang w:val="uk-UA" w:eastAsia="en-GB"/>
              </w:rPr>
              <w:t xml:space="preserve">Річна фінансова та консолідована фінансова звітність розкрита вище. </w:t>
            </w:r>
          </w:p>
          <w:p w14:paraId="31F3DCF0" w14:textId="42EC6D11" w:rsidR="00E321DE" w:rsidRPr="002600C5" w:rsidRDefault="00E321DE" w:rsidP="002600C5">
            <w:pPr>
              <w:pStyle w:val="NormalWeb"/>
              <w:rPr>
                <w:b/>
                <w:bCs/>
                <w:color w:val="333333"/>
                <w:lang w:eastAsia="en-GB"/>
              </w:rPr>
            </w:pPr>
            <w:r w:rsidRPr="00D15E15">
              <w:rPr>
                <w:b/>
                <w:bCs/>
                <w:color w:val="333333"/>
                <w:lang w:eastAsia="en-GB"/>
              </w:rPr>
              <w:t>З основними показниками діяльності ТОВ «</w:t>
            </w:r>
            <w:r w:rsidR="00BA6314">
              <w:rPr>
                <w:b/>
                <w:bCs/>
                <w:color w:val="333333"/>
                <w:lang w:eastAsia="en-GB"/>
              </w:rPr>
              <w:t>САНФОРД КАПІТАЛ</w:t>
            </w:r>
            <w:r w:rsidRPr="00D15E15">
              <w:rPr>
                <w:b/>
                <w:bCs/>
                <w:color w:val="333333"/>
                <w:lang w:eastAsia="en-GB"/>
              </w:rPr>
              <w:t xml:space="preserve">» з надання фінансових послуг, зокрема щодо обсягу наданих фінансових послуг, зобов’язань, активів, капіталу, даних про фінансові результати діяльності та іншими показниками звітності можна ознайомитись на сторінках офіційного Інтернет-представництва Національного банку України. </w:t>
            </w:r>
          </w:p>
        </w:tc>
      </w:tr>
      <w:tr w:rsidR="00E321DE" w:rsidRPr="00D15E15" w14:paraId="77790F76" w14:textId="77777777" w:rsidTr="00E321DE">
        <w:tc>
          <w:tcPr>
            <w:tcW w:w="4672" w:type="dxa"/>
          </w:tcPr>
          <w:p w14:paraId="5D342B68" w14:textId="62BA237B"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16) відомості про склад наглядової ради та виконавчого органу надавача фінансових послуг шляхом розміщення</w:t>
            </w:r>
          </w:p>
        </w:tc>
        <w:tc>
          <w:tcPr>
            <w:tcW w:w="4673" w:type="dxa"/>
          </w:tcPr>
          <w:p w14:paraId="52D953F6" w14:textId="3864CFF6" w:rsidR="00E321DE" w:rsidRPr="00D15E15" w:rsidRDefault="00E321DE" w:rsidP="00E321DE">
            <w:pPr>
              <w:pStyle w:val="rvps2"/>
              <w:spacing w:before="0" w:beforeAutospacing="0" w:after="150" w:afterAutospacing="0"/>
              <w:jc w:val="both"/>
              <w:rPr>
                <w:b/>
                <w:bCs/>
                <w:color w:val="333333"/>
                <w:lang w:val="uk-UA"/>
              </w:rPr>
            </w:pPr>
            <w:r w:rsidRPr="00D15E15">
              <w:rPr>
                <w:b/>
                <w:bCs/>
                <w:color w:val="333333"/>
                <w:lang w:val="uk-UA"/>
              </w:rPr>
              <w:t>Наглядова рада ТОВ «</w:t>
            </w:r>
            <w:r w:rsidR="00BA6314">
              <w:rPr>
                <w:b/>
                <w:bCs/>
                <w:color w:val="333333"/>
                <w:lang w:val="uk-UA"/>
              </w:rPr>
              <w:t>САНФОРД КАПІТАЛ</w:t>
            </w:r>
            <w:r w:rsidRPr="00D15E15">
              <w:rPr>
                <w:b/>
                <w:bCs/>
                <w:color w:val="333333"/>
                <w:lang w:val="uk-UA"/>
              </w:rPr>
              <w:t>» не створювалася.</w:t>
            </w:r>
          </w:p>
          <w:p w14:paraId="35722819" w14:textId="1AFD0BA2" w:rsidR="00E321DE" w:rsidRPr="008979DF" w:rsidRDefault="00E321DE" w:rsidP="00E321DE">
            <w:pPr>
              <w:pStyle w:val="rvps2"/>
              <w:spacing w:before="0" w:beforeAutospacing="0" w:after="150" w:afterAutospacing="0"/>
              <w:jc w:val="both"/>
              <w:rPr>
                <w:color w:val="333333"/>
                <w:lang w:val="uk-UA"/>
              </w:rPr>
            </w:pPr>
            <w:r w:rsidRPr="008979DF">
              <w:rPr>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Виконавчий орган – директор </w:t>
            </w:r>
            <w:proofErr w:type="spellStart"/>
            <w:r w:rsidR="005F2B1E" w:rsidRPr="008979DF">
              <w:rPr>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Маринич</w:t>
            </w:r>
            <w:proofErr w:type="spellEnd"/>
            <w:r w:rsidR="005F2B1E" w:rsidRPr="008979DF">
              <w:rPr>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Роман Федорович</w:t>
            </w:r>
            <w:r w:rsidRPr="008979DF">
              <w:rPr>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E321DE" w:rsidRPr="00D15E15" w14:paraId="44E8A4BC" w14:textId="77777777" w:rsidTr="00E321DE">
        <w:tc>
          <w:tcPr>
            <w:tcW w:w="4672" w:type="dxa"/>
          </w:tcPr>
          <w:p w14:paraId="15F24BEF" w14:textId="7624303C"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17) структура власності надавача фінансових послуг</w:t>
            </w:r>
          </w:p>
        </w:tc>
        <w:tc>
          <w:tcPr>
            <w:tcW w:w="4673" w:type="dxa"/>
          </w:tcPr>
          <w:p w14:paraId="0B57DDE7" w14:textId="78EF5D33" w:rsidR="00E321DE" w:rsidRPr="00D15E15" w:rsidRDefault="004F1B95" w:rsidP="00E321DE">
            <w:pPr>
              <w:pStyle w:val="rvps2"/>
              <w:spacing w:before="0" w:beforeAutospacing="0" w:after="150" w:afterAutospacing="0"/>
              <w:jc w:val="both"/>
              <w:rPr>
                <w:b/>
                <w:bCs/>
                <w:color w:val="0070C0"/>
                <w:lang w:val="uk-UA"/>
              </w:rPr>
            </w:pPr>
            <w:r w:rsidRPr="00447968">
              <w:rPr>
                <w:b/>
                <w:bCs/>
                <w:lang w:val="uk-UA"/>
              </w:rPr>
              <w:t xml:space="preserve">Інформація викладена на веб-сайті Товариства в розділі </w:t>
            </w:r>
            <w:r>
              <w:rPr>
                <w:b/>
                <w:bCs/>
                <w:color w:val="0070C0"/>
                <w:lang w:val="uk-UA"/>
              </w:rPr>
              <w:t>«</w:t>
            </w:r>
            <w:r w:rsidR="00BA6314">
              <w:rPr>
                <w:b/>
                <w:bCs/>
                <w:color w:val="0070C0"/>
                <w:lang w:val="uk-UA"/>
              </w:rPr>
              <w:t>Структура власності</w:t>
            </w:r>
            <w:r>
              <w:rPr>
                <w:b/>
                <w:bCs/>
                <w:color w:val="0070C0"/>
                <w:lang w:val="uk-UA"/>
              </w:rPr>
              <w:t>»</w:t>
            </w:r>
          </w:p>
        </w:tc>
      </w:tr>
      <w:tr w:rsidR="00E321DE" w:rsidRPr="00D15E15" w14:paraId="79BFBFA3" w14:textId="77777777" w:rsidTr="00E321DE">
        <w:tc>
          <w:tcPr>
            <w:tcW w:w="4672" w:type="dxa"/>
          </w:tcPr>
          <w:p w14:paraId="34428A2E" w14:textId="7B5616F5" w:rsidR="00E321DE" w:rsidRPr="00D15E15" w:rsidRDefault="00E321DE" w:rsidP="00E321DE">
            <w:pPr>
              <w:pStyle w:val="rvps2"/>
              <w:spacing w:before="0" w:beforeAutospacing="0" w:after="150" w:afterAutospacing="0"/>
              <w:jc w:val="both"/>
              <w:rPr>
                <w:color w:val="333333"/>
                <w:lang w:val="uk-UA"/>
              </w:rPr>
            </w:pPr>
            <w:r w:rsidRPr="00D15E15">
              <w:rPr>
                <w:color w:val="333333"/>
                <w:lang w:val="uk-UA"/>
              </w:rPr>
              <w:t>18) Правила надання фінансових послуг та примірні договори</w:t>
            </w:r>
          </w:p>
        </w:tc>
        <w:tc>
          <w:tcPr>
            <w:tcW w:w="4673" w:type="dxa"/>
          </w:tcPr>
          <w:p w14:paraId="08EBCD73" w14:textId="38D231F9" w:rsidR="00BA6314" w:rsidRPr="00B31F5B" w:rsidRDefault="00BA6314" w:rsidP="00BA6314">
            <w:pPr>
              <w:spacing w:before="100" w:beforeAutospacing="1" w:after="100" w:afterAutospacing="1"/>
              <w:jc w:val="both"/>
              <w:rPr>
                <w:rFonts w:ascii="Times New Roman" w:hAnsi="Times New Roman" w:cs="Times New Roman"/>
                <w:b/>
                <w:bCs/>
                <w:color w:val="0070C0"/>
                <w:sz w:val="24"/>
                <w:szCs w:val="24"/>
                <w:lang w:val="uk-UA"/>
              </w:rPr>
            </w:pPr>
            <w:r w:rsidRPr="00BA6314">
              <w:rPr>
                <w:rFonts w:ascii="Times New Roman" w:hAnsi="Times New Roman" w:cs="Times New Roman"/>
                <w:b/>
                <w:bCs/>
                <w:color w:val="0070C0"/>
                <w:sz w:val="24"/>
                <w:szCs w:val="24"/>
                <w:lang w:val="uk-UA"/>
              </w:rPr>
              <w:t xml:space="preserve">Правила надання </w:t>
            </w:r>
            <w:r w:rsidRPr="00B31F5B">
              <w:rPr>
                <w:rFonts w:ascii="Times New Roman" w:hAnsi="Times New Roman" w:cs="Times New Roman"/>
                <w:b/>
                <w:bCs/>
                <w:color w:val="0070C0"/>
                <w:sz w:val="24"/>
                <w:szCs w:val="24"/>
                <w:lang w:val="uk-UA"/>
              </w:rPr>
              <w:t>послуг з факторингу (в редакції введеній в дію 0</w:t>
            </w:r>
            <w:r w:rsidR="00B31F5B" w:rsidRPr="00B31F5B">
              <w:rPr>
                <w:rFonts w:ascii="Times New Roman" w:hAnsi="Times New Roman" w:cs="Times New Roman"/>
                <w:b/>
                <w:bCs/>
                <w:color w:val="0070C0"/>
                <w:sz w:val="24"/>
                <w:szCs w:val="24"/>
                <w:lang w:val="uk-UA"/>
              </w:rPr>
              <w:t>7</w:t>
            </w:r>
            <w:r w:rsidRPr="00B31F5B">
              <w:rPr>
                <w:rFonts w:ascii="Times New Roman" w:hAnsi="Times New Roman" w:cs="Times New Roman"/>
                <w:b/>
                <w:bCs/>
                <w:color w:val="0070C0"/>
                <w:sz w:val="24"/>
                <w:szCs w:val="24"/>
                <w:lang w:val="uk-UA"/>
              </w:rPr>
              <w:t>.02.2024 року).</w:t>
            </w:r>
          </w:p>
          <w:p w14:paraId="77BBC69F" w14:textId="46E2E5E1" w:rsidR="000B5423" w:rsidRPr="00BA6314" w:rsidRDefault="00BA6314" w:rsidP="00BA6314">
            <w:pPr>
              <w:spacing w:before="100" w:beforeAutospacing="1" w:after="100" w:afterAutospacing="1"/>
              <w:jc w:val="both"/>
              <w:rPr>
                <w:rFonts w:ascii="Times New Roman" w:hAnsi="Times New Roman" w:cs="Times New Roman"/>
                <w:b/>
                <w:bCs/>
                <w:color w:val="0070C0"/>
                <w:sz w:val="24"/>
                <w:szCs w:val="24"/>
                <w:lang w:val="uk-UA"/>
              </w:rPr>
            </w:pPr>
            <w:r w:rsidRPr="00B31F5B">
              <w:rPr>
                <w:rFonts w:ascii="Times New Roman" w:hAnsi="Times New Roman" w:cs="Times New Roman"/>
                <w:b/>
                <w:bCs/>
                <w:color w:val="0070C0"/>
                <w:sz w:val="24"/>
                <w:szCs w:val="24"/>
                <w:lang w:val="uk-UA"/>
              </w:rPr>
              <w:t>Примірний договір факторингу (в редакції введеній в дію 0</w:t>
            </w:r>
            <w:r w:rsidR="00B31F5B" w:rsidRPr="00B31F5B">
              <w:rPr>
                <w:rFonts w:ascii="Times New Roman" w:hAnsi="Times New Roman" w:cs="Times New Roman"/>
                <w:b/>
                <w:bCs/>
                <w:color w:val="0070C0"/>
                <w:sz w:val="24"/>
                <w:szCs w:val="24"/>
                <w:lang w:val="uk-UA"/>
              </w:rPr>
              <w:t>7</w:t>
            </w:r>
            <w:r w:rsidRPr="00B31F5B">
              <w:rPr>
                <w:rFonts w:ascii="Times New Roman" w:hAnsi="Times New Roman" w:cs="Times New Roman"/>
                <w:b/>
                <w:bCs/>
                <w:color w:val="0070C0"/>
                <w:sz w:val="24"/>
                <w:szCs w:val="24"/>
                <w:lang w:val="uk-UA"/>
              </w:rPr>
              <w:t>.02.2024 року).</w:t>
            </w:r>
          </w:p>
        </w:tc>
      </w:tr>
    </w:tbl>
    <w:p w14:paraId="604D94A9" w14:textId="153C45D3" w:rsidR="00E321DE" w:rsidRPr="00D15E15" w:rsidRDefault="00E321DE" w:rsidP="00E321DE">
      <w:pPr>
        <w:pStyle w:val="rvps2"/>
        <w:spacing w:before="0" w:beforeAutospacing="0" w:after="150" w:afterAutospacing="0"/>
        <w:ind w:firstLine="450"/>
        <w:jc w:val="both"/>
        <w:rPr>
          <w:color w:val="333333"/>
          <w:lang w:val="uk-UA"/>
        </w:rPr>
      </w:pPr>
      <w:bookmarkStart w:id="0" w:name="n33"/>
      <w:bookmarkStart w:id="1" w:name="n34"/>
      <w:bookmarkStart w:id="2" w:name="n35"/>
      <w:bookmarkStart w:id="3" w:name="n37"/>
      <w:bookmarkStart w:id="4" w:name="n41"/>
      <w:bookmarkStart w:id="5" w:name="n42"/>
      <w:bookmarkStart w:id="6" w:name="n43"/>
      <w:bookmarkStart w:id="7" w:name="n51"/>
      <w:bookmarkStart w:id="8" w:name="n52"/>
      <w:bookmarkStart w:id="9" w:name="n53"/>
      <w:bookmarkEnd w:id="0"/>
      <w:bookmarkEnd w:id="1"/>
      <w:bookmarkEnd w:id="2"/>
      <w:bookmarkEnd w:id="3"/>
      <w:bookmarkEnd w:id="4"/>
      <w:bookmarkEnd w:id="5"/>
      <w:bookmarkEnd w:id="6"/>
      <w:bookmarkEnd w:id="7"/>
      <w:bookmarkEnd w:id="8"/>
      <w:bookmarkEnd w:id="9"/>
      <w:r w:rsidRPr="00D15E15">
        <w:rPr>
          <w:color w:val="333333"/>
          <w:lang w:val="uk-UA"/>
        </w:rPr>
        <w:lastRenderedPageBreak/>
        <w:t xml:space="preserve"> </w:t>
      </w:r>
    </w:p>
    <w:p w14:paraId="6C6FA7B8" w14:textId="77777777" w:rsidR="004166D1" w:rsidRPr="00D15E15" w:rsidRDefault="004166D1">
      <w:pPr>
        <w:pStyle w:val="Bodytext20"/>
        <w:shd w:val="clear" w:color="auto" w:fill="auto"/>
        <w:tabs>
          <w:tab w:val="left" w:pos="325"/>
        </w:tabs>
        <w:spacing w:after="0" w:line="264" w:lineRule="exact"/>
        <w:jc w:val="both"/>
        <w:rPr>
          <w:rFonts w:cs="Times New Roman"/>
          <w:b/>
          <w:bCs/>
          <w:sz w:val="24"/>
          <w:szCs w:val="24"/>
          <w:lang w:val="uk-UA" w:eastAsia="ru-RU"/>
        </w:rPr>
      </w:pPr>
      <w:bookmarkStart w:id="10" w:name="n55"/>
      <w:bookmarkStart w:id="11" w:name="n56"/>
      <w:bookmarkEnd w:id="10"/>
      <w:bookmarkEnd w:id="11"/>
    </w:p>
    <w:sectPr w:rsidR="004166D1" w:rsidRPr="00D15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E7F"/>
    <w:multiLevelType w:val="hybridMultilevel"/>
    <w:tmpl w:val="680621A8"/>
    <w:lvl w:ilvl="0" w:tplc="D1E48E80">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33A31"/>
    <w:multiLevelType w:val="hybridMultilevel"/>
    <w:tmpl w:val="220CA298"/>
    <w:lvl w:ilvl="0" w:tplc="ECD09FE2">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630EFC"/>
    <w:multiLevelType w:val="hybridMultilevel"/>
    <w:tmpl w:val="A5C02806"/>
    <w:lvl w:ilvl="0" w:tplc="9B0EEFB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A3C45"/>
    <w:multiLevelType w:val="multilevel"/>
    <w:tmpl w:val="C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425D5"/>
    <w:multiLevelType w:val="hybridMultilevel"/>
    <w:tmpl w:val="83F2767C"/>
    <w:lvl w:ilvl="0" w:tplc="AF48CE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913B8"/>
    <w:multiLevelType w:val="hybridMultilevel"/>
    <w:tmpl w:val="07E069BE"/>
    <w:lvl w:ilvl="0" w:tplc="938CE92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9310D"/>
    <w:multiLevelType w:val="hybridMultilevel"/>
    <w:tmpl w:val="BFD87118"/>
    <w:lvl w:ilvl="0" w:tplc="A92EB532">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6D10C3"/>
    <w:multiLevelType w:val="hybridMultilevel"/>
    <w:tmpl w:val="CA6C1A28"/>
    <w:lvl w:ilvl="0" w:tplc="2290673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B42704"/>
    <w:multiLevelType w:val="hybridMultilevel"/>
    <w:tmpl w:val="C51E842A"/>
    <w:lvl w:ilvl="0" w:tplc="9760E542">
      <w:start w:val="3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6E057B99"/>
    <w:multiLevelType w:val="multilevel"/>
    <w:tmpl w:val="EBB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11F0B"/>
    <w:multiLevelType w:val="hybridMultilevel"/>
    <w:tmpl w:val="E5207B6A"/>
    <w:lvl w:ilvl="0" w:tplc="E75667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9613058">
    <w:abstractNumId w:val="7"/>
  </w:num>
  <w:num w:numId="2" w16cid:durableId="840050891">
    <w:abstractNumId w:val="0"/>
  </w:num>
  <w:num w:numId="3" w16cid:durableId="1859149660">
    <w:abstractNumId w:val="8"/>
  </w:num>
  <w:num w:numId="4" w16cid:durableId="1431126122">
    <w:abstractNumId w:val="9"/>
  </w:num>
  <w:num w:numId="5" w16cid:durableId="506871114">
    <w:abstractNumId w:val="10"/>
  </w:num>
  <w:num w:numId="6" w16cid:durableId="342518594">
    <w:abstractNumId w:val="3"/>
  </w:num>
  <w:num w:numId="7" w16cid:durableId="1747071880">
    <w:abstractNumId w:val="1"/>
  </w:num>
  <w:num w:numId="8" w16cid:durableId="156845991">
    <w:abstractNumId w:val="4"/>
  </w:num>
  <w:num w:numId="9" w16cid:durableId="983508808">
    <w:abstractNumId w:val="5"/>
  </w:num>
  <w:num w:numId="10" w16cid:durableId="2085519222">
    <w:abstractNumId w:val="6"/>
  </w:num>
  <w:num w:numId="11" w16cid:durableId="170913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F4"/>
    <w:rsid w:val="000337FC"/>
    <w:rsid w:val="000A155C"/>
    <w:rsid w:val="000A252E"/>
    <w:rsid w:val="000B5423"/>
    <w:rsid w:val="000D1FEB"/>
    <w:rsid w:val="000D6B7B"/>
    <w:rsid w:val="000D7A2A"/>
    <w:rsid w:val="000D7CA9"/>
    <w:rsid w:val="00115DC0"/>
    <w:rsid w:val="00121661"/>
    <w:rsid w:val="0012383B"/>
    <w:rsid w:val="0014547A"/>
    <w:rsid w:val="00151A3F"/>
    <w:rsid w:val="001A1A7D"/>
    <w:rsid w:val="001C3777"/>
    <w:rsid w:val="001D5B69"/>
    <w:rsid w:val="001F4866"/>
    <w:rsid w:val="00217B31"/>
    <w:rsid w:val="00256310"/>
    <w:rsid w:val="002600C5"/>
    <w:rsid w:val="002C45DE"/>
    <w:rsid w:val="003015AE"/>
    <w:rsid w:val="003016CF"/>
    <w:rsid w:val="00313156"/>
    <w:rsid w:val="00371E8F"/>
    <w:rsid w:val="00377942"/>
    <w:rsid w:val="003C4B3C"/>
    <w:rsid w:val="003E202A"/>
    <w:rsid w:val="003E4EB4"/>
    <w:rsid w:val="004166D1"/>
    <w:rsid w:val="00424EA5"/>
    <w:rsid w:val="00434480"/>
    <w:rsid w:val="00447968"/>
    <w:rsid w:val="004769EA"/>
    <w:rsid w:val="004C6E99"/>
    <w:rsid w:val="004D242F"/>
    <w:rsid w:val="004F1B95"/>
    <w:rsid w:val="00503058"/>
    <w:rsid w:val="0051621F"/>
    <w:rsid w:val="00555814"/>
    <w:rsid w:val="0055725F"/>
    <w:rsid w:val="00593297"/>
    <w:rsid w:val="005A25B4"/>
    <w:rsid w:val="005A501C"/>
    <w:rsid w:val="005C7CAB"/>
    <w:rsid w:val="005F2B1E"/>
    <w:rsid w:val="00614741"/>
    <w:rsid w:val="006667D3"/>
    <w:rsid w:val="006709A9"/>
    <w:rsid w:val="0069540A"/>
    <w:rsid w:val="006A12B3"/>
    <w:rsid w:val="006C7AC1"/>
    <w:rsid w:val="006D6790"/>
    <w:rsid w:val="00703FE5"/>
    <w:rsid w:val="007075E1"/>
    <w:rsid w:val="00731141"/>
    <w:rsid w:val="00736233"/>
    <w:rsid w:val="0078570A"/>
    <w:rsid w:val="007B58AE"/>
    <w:rsid w:val="007D21C1"/>
    <w:rsid w:val="00822F18"/>
    <w:rsid w:val="008366BF"/>
    <w:rsid w:val="008770A9"/>
    <w:rsid w:val="008979DF"/>
    <w:rsid w:val="008D5E1C"/>
    <w:rsid w:val="00904850"/>
    <w:rsid w:val="00946236"/>
    <w:rsid w:val="009D56F0"/>
    <w:rsid w:val="009F63AA"/>
    <w:rsid w:val="00A72177"/>
    <w:rsid w:val="00A74910"/>
    <w:rsid w:val="00A81EF4"/>
    <w:rsid w:val="00A83355"/>
    <w:rsid w:val="00A947FD"/>
    <w:rsid w:val="00AE1D51"/>
    <w:rsid w:val="00B12ADF"/>
    <w:rsid w:val="00B21C00"/>
    <w:rsid w:val="00B2279C"/>
    <w:rsid w:val="00B31F5B"/>
    <w:rsid w:val="00B33ADC"/>
    <w:rsid w:val="00B34788"/>
    <w:rsid w:val="00B42439"/>
    <w:rsid w:val="00B43355"/>
    <w:rsid w:val="00B723E5"/>
    <w:rsid w:val="00B8055B"/>
    <w:rsid w:val="00BA6314"/>
    <w:rsid w:val="00BC661A"/>
    <w:rsid w:val="00C13CC2"/>
    <w:rsid w:val="00C827C8"/>
    <w:rsid w:val="00C82958"/>
    <w:rsid w:val="00CD7E22"/>
    <w:rsid w:val="00D15E15"/>
    <w:rsid w:val="00D257A7"/>
    <w:rsid w:val="00DF5B8F"/>
    <w:rsid w:val="00E01581"/>
    <w:rsid w:val="00E21D5D"/>
    <w:rsid w:val="00E259E6"/>
    <w:rsid w:val="00E303D6"/>
    <w:rsid w:val="00E321DE"/>
    <w:rsid w:val="00E46868"/>
    <w:rsid w:val="00E46DB6"/>
    <w:rsid w:val="00E674A4"/>
    <w:rsid w:val="00E75F5D"/>
    <w:rsid w:val="00EA1196"/>
    <w:rsid w:val="00EE2060"/>
    <w:rsid w:val="00F26838"/>
    <w:rsid w:val="00F300B3"/>
    <w:rsid w:val="00F34303"/>
    <w:rsid w:val="00F71D10"/>
    <w:rsid w:val="00F71D2B"/>
    <w:rsid w:val="00F7210F"/>
    <w:rsid w:val="00F91086"/>
    <w:rsid w:val="00F92C1A"/>
    <w:rsid w:val="00FA6668"/>
    <w:rsid w:val="00FC44BB"/>
    <w:rsid w:val="00FC68DA"/>
    <w:rsid w:val="00FE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0BF2"/>
  <w15:docId w15:val="{E98977E4-42FD-4D09-8446-CDB50BF6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1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61A"/>
    <w:rPr>
      <w:color w:val="0563C1" w:themeColor="hyperlink"/>
      <w:u w:val="single"/>
    </w:rPr>
  </w:style>
  <w:style w:type="paragraph" w:styleId="ListParagraph">
    <w:name w:val="List Paragraph"/>
    <w:basedOn w:val="Normal"/>
    <w:uiPriority w:val="34"/>
    <w:qFormat/>
    <w:rsid w:val="000337FC"/>
    <w:pPr>
      <w:ind w:left="720"/>
      <w:contextualSpacing/>
    </w:pPr>
  </w:style>
  <w:style w:type="character" w:customStyle="1" w:styleId="rvts9">
    <w:name w:val="rvts9"/>
    <w:rsid w:val="00F91086"/>
  </w:style>
  <w:style w:type="paragraph" w:styleId="BalloonText">
    <w:name w:val="Balloon Text"/>
    <w:basedOn w:val="Normal"/>
    <w:link w:val="BalloonTextChar"/>
    <w:uiPriority w:val="99"/>
    <w:semiHidden/>
    <w:unhideWhenUsed/>
    <w:rsid w:val="0069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40A"/>
    <w:rPr>
      <w:rFonts w:ascii="Segoe UI" w:hAnsi="Segoe UI" w:cs="Segoe UI"/>
      <w:sz w:val="18"/>
      <w:szCs w:val="18"/>
    </w:rPr>
  </w:style>
  <w:style w:type="paragraph" w:styleId="NormalWeb">
    <w:name w:val="Normal (Web)"/>
    <w:basedOn w:val="Normal"/>
    <w:uiPriority w:val="99"/>
    <w:unhideWhenUsed/>
    <w:rsid w:val="003E4E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NoSpacing">
    <w:name w:val="No Spacing"/>
    <w:uiPriority w:val="1"/>
    <w:qFormat/>
    <w:rsid w:val="0055725F"/>
    <w:pPr>
      <w:spacing w:after="0" w:line="240" w:lineRule="auto"/>
    </w:pPr>
    <w:rPr>
      <w:rFonts w:ascii="Calibri" w:eastAsia="Calibri" w:hAnsi="Calibri" w:cs="Times New Roman"/>
    </w:rPr>
  </w:style>
  <w:style w:type="character" w:customStyle="1" w:styleId="FontStyle20">
    <w:name w:val="Font Style20"/>
    <w:basedOn w:val="DefaultParagraphFont"/>
    <w:rsid w:val="00731141"/>
    <w:rPr>
      <w:rFonts w:ascii="Times New Roman" w:hAnsi="Times New Roman" w:cs="Times New Roman" w:hint="default"/>
      <w:sz w:val="20"/>
      <w:szCs w:val="20"/>
    </w:rPr>
  </w:style>
  <w:style w:type="character" w:customStyle="1" w:styleId="Bodytext2">
    <w:name w:val="Body text (2)_"/>
    <w:link w:val="Bodytext20"/>
    <w:rsid w:val="00731141"/>
    <w:rPr>
      <w:rFonts w:ascii="Times New Roman" w:eastAsia="Times New Roman" w:hAnsi="Times New Roman"/>
      <w:shd w:val="clear" w:color="auto" w:fill="FFFFFF"/>
    </w:rPr>
  </w:style>
  <w:style w:type="paragraph" w:customStyle="1" w:styleId="Bodytext20">
    <w:name w:val="Body text (2)"/>
    <w:basedOn w:val="Normal"/>
    <w:link w:val="Bodytext2"/>
    <w:rsid w:val="00731141"/>
    <w:pPr>
      <w:widowControl w:val="0"/>
      <w:shd w:val="clear" w:color="auto" w:fill="FFFFFF"/>
      <w:spacing w:after="540" w:line="0" w:lineRule="atLeast"/>
      <w:jc w:val="center"/>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A947FD"/>
    <w:rPr>
      <w:color w:val="605E5C"/>
      <w:shd w:val="clear" w:color="auto" w:fill="E1DFDD"/>
    </w:rPr>
  </w:style>
  <w:style w:type="character" w:styleId="Strong">
    <w:name w:val="Strong"/>
    <w:basedOn w:val="DefaultParagraphFont"/>
    <w:uiPriority w:val="22"/>
    <w:qFormat/>
    <w:rsid w:val="000D6B7B"/>
    <w:rPr>
      <w:b/>
      <w:bCs/>
    </w:rPr>
  </w:style>
  <w:style w:type="paragraph" w:customStyle="1" w:styleId="rvps2">
    <w:name w:val="rvps2"/>
    <w:basedOn w:val="Normal"/>
    <w:rsid w:val="00E321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321DE"/>
  </w:style>
  <w:style w:type="table" w:styleId="TableGrid">
    <w:name w:val="Table Grid"/>
    <w:basedOn w:val="TableNormal"/>
    <w:uiPriority w:val="39"/>
    <w:rsid w:val="00E3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156"/>
    <w:rPr>
      <w:color w:val="605E5C"/>
      <w:shd w:val="clear" w:color="auto" w:fill="E1DFDD"/>
    </w:rPr>
  </w:style>
  <w:style w:type="character" w:customStyle="1" w:styleId="Heading1Char">
    <w:name w:val="Heading 1 Char"/>
    <w:basedOn w:val="DefaultParagraphFont"/>
    <w:link w:val="Heading1"/>
    <w:uiPriority w:val="9"/>
    <w:rsid w:val="00E21D5D"/>
    <w:rPr>
      <w:rFonts w:ascii="Times New Roman" w:eastAsia="Times New Roman" w:hAnsi="Times New Roman" w:cs="Times New Roman"/>
      <w:b/>
      <w:bCs/>
      <w:kern w:val="36"/>
      <w:sz w:val="48"/>
      <w:szCs w:val="48"/>
      <w:lang w:eastAsia="ru-RU"/>
    </w:rPr>
  </w:style>
  <w:style w:type="character" w:styleId="FollowedHyperlink">
    <w:name w:val="FollowedHyperlink"/>
    <w:basedOn w:val="DefaultParagraphFont"/>
    <w:uiPriority w:val="99"/>
    <w:semiHidden/>
    <w:unhideWhenUsed/>
    <w:rsid w:val="00E21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935">
      <w:bodyDiv w:val="1"/>
      <w:marLeft w:val="0"/>
      <w:marRight w:val="0"/>
      <w:marTop w:val="0"/>
      <w:marBottom w:val="0"/>
      <w:divBdr>
        <w:top w:val="none" w:sz="0" w:space="0" w:color="auto"/>
        <w:left w:val="none" w:sz="0" w:space="0" w:color="auto"/>
        <w:bottom w:val="none" w:sz="0" w:space="0" w:color="auto"/>
        <w:right w:val="none" w:sz="0" w:space="0" w:color="auto"/>
      </w:divBdr>
    </w:div>
    <w:div w:id="294063160">
      <w:bodyDiv w:val="1"/>
      <w:marLeft w:val="0"/>
      <w:marRight w:val="0"/>
      <w:marTop w:val="0"/>
      <w:marBottom w:val="0"/>
      <w:divBdr>
        <w:top w:val="none" w:sz="0" w:space="0" w:color="auto"/>
        <w:left w:val="none" w:sz="0" w:space="0" w:color="auto"/>
        <w:bottom w:val="none" w:sz="0" w:space="0" w:color="auto"/>
        <w:right w:val="none" w:sz="0" w:space="0" w:color="auto"/>
      </w:divBdr>
    </w:div>
    <w:div w:id="331834949">
      <w:bodyDiv w:val="1"/>
      <w:marLeft w:val="0"/>
      <w:marRight w:val="0"/>
      <w:marTop w:val="0"/>
      <w:marBottom w:val="0"/>
      <w:divBdr>
        <w:top w:val="none" w:sz="0" w:space="0" w:color="auto"/>
        <w:left w:val="none" w:sz="0" w:space="0" w:color="auto"/>
        <w:bottom w:val="none" w:sz="0" w:space="0" w:color="auto"/>
        <w:right w:val="none" w:sz="0" w:space="0" w:color="auto"/>
      </w:divBdr>
    </w:div>
    <w:div w:id="360515531">
      <w:bodyDiv w:val="1"/>
      <w:marLeft w:val="0"/>
      <w:marRight w:val="0"/>
      <w:marTop w:val="0"/>
      <w:marBottom w:val="0"/>
      <w:divBdr>
        <w:top w:val="none" w:sz="0" w:space="0" w:color="auto"/>
        <w:left w:val="none" w:sz="0" w:space="0" w:color="auto"/>
        <w:bottom w:val="none" w:sz="0" w:space="0" w:color="auto"/>
        <w:right w:val="none" w:sz="0" w:space="0" w:color="auto"/>
      </w:divBdr>
      <w:divsChild>
        <w:div w:id="1058436715">
          <w:marLeft w:val="0"/>
          <w:marRight w:val="0"/>
          <w:marTop w:val="0"/>
          <w:marBottom w:val="0"/>
          <w:divBdr>
            <w:top w:val="none" w:sz="0" w:space="0" w:color="auto"/>
            <w:left w:val="none" w:sz="0" w:space="0" w:color="auto"/>
            <w:bottom w:val="none" w:sz="0" w:space="0" w:color="auto"/>
            <w:right w:val="none" w:sz="0" w:space="0" w:color="auto"/>
          </w:divBdr>
          <w:divsChild>
            <w:div w:id="707026835">
              <w:marLeft w:val="0"/>
              <w:marRight w:val="0"/>
              <w:marTop w:val="0"/>
              <w:marBottom w:val="0"/>
              <w:divBdr>
                <w:top w:val="none" w:sz="0" w:space="0" w:color="auto"/>
                <w:left w:val="none" w:sz="0" w:space="0" w:color="auto"/>
                <w:bottom w:val="none" w:sz="0" w:space="0" w:color="auto"/>
                <w:right w:val="none" w:sz="0" w:space="0" w:color="auto"/>
              </w:divBdr>
              <w:divsChild>
                <w:div w:id="17192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2894">
      <w:bodyDiv w:val="1"/>
      <w:marLeft w:val="0"/>
      <w:marRight w:val="0"/>
      <w:marTop w:val="0"/>
      <w:marBottom w:val="0"/>
      <w:divBdr>
        <w:top w:val="none" w:sz="0" w:space="0" w:color="auto"/>
        <w:left w:val="none" w:sz="0" w:space="0" w:color="auto"/>
        <w:bottom w:val="none" w:sz="0" w:space="0" w:color="auto"/>
        <w:right w:val="none" w:sz="0" w:space="0" w:color="auto"/>
      </w:divBdr>
    </w:div>
    <w:div w:id="665673201">
      <w:bodyDiv w:val="1"/>
      <w:marLeft w:val="0"/>
      <w:marRight w:val="0"/>
      <w:marTop w:val="0"/>
      <w:marBottom w:val="0"/>
      <w:divBdr>
        <w:top w:val="none" w:sz="0" w:space="0" w:color="auto"/>
        <w:left w:val="none" w:sz="0" w:space="0" w:color="auto"/>
        <w:bottom w:val="none" w:sz="0" w:space="0" w:color="auto"/>
        <w:right w:val="none" w:sz="0" w:space="0" w:color="auto"/>
      </w:divBdr>
    </w:div>
    <w:div w:id="771556568">
      <w:bodyDiv w:val="1"/>
      <w:marLeft w:val="0"/>
      <w:marRight w:val="0"/>
      <w:marTop w:val="0"/>
      <w:marBottom w:val="0"/>
      <w:divBdr>
        <w:top w:val="none" w:sz="0" w:space="0" w:color="auto"/>
        <w:left w:val="none" w:sz="0" w:space="0" w:color="auto"/>
        <w:bottom w:val="none" w:sz="0" w:space="0" w:color="auto"/>
        <w:right w:val="none" w:sz="0" w:space="0" w:color="auto"/>
      </w:divBdr>
      <w:divsChild>
        <w:div w:id="213391588">
          <w:marLeft w:val="0"/>
          <w:marRight w:val="0"/>
          <w:marTop w:val="0"/>
          <w:marBottom w:val="0"/>
          <w:divBdr>
            <w:top w:val="none" w:sz="0" w:space="0" w:color="auto"/>
            <w:left w:val="none" w:sz="0" w:space="0" w:color="auto"/>
            <w:bottom w:val="none" w:sz="0" w:space="0" w:color="auto"/>
            <w:right w:val="none" w:sz="0" w:space="0" w:color="auto"/>
          </w:divBdr>
        </w:div>
      </w:divsChild>
    </w:div>
    <w:div w:id="977298821">
      <w:bodyDiv w:val="1"/>
      <w:marLeft w:val="0"/>
      <w:marRight w:val="0"/>
      <w:marTop w:val="0"/>
      <w:marBottom w:val="0"/>
      <w:divBdr>
        <w:top w:val="none" w:sz="0" w:space="0" w:color="auto"/>
        <w:left w:val="none" w:sz="0" w:space="0" w:color="auto"/>
        <w:bottom w:val="none" w:sz="0" w:space="0" w:color="auto"/>
        <w:right w:val="none" w:sz="0" w:space="0" w:color="auto"/>
      </w:divBdr>
    </w:div>
    <w:div w:id="1158496261">
      <w:bodyDiv w:val="1"/>
      <w:marLeft w:val="0"/>
      <w:marRight w:val="0"/>
      <w:marTop w:val="0"/>
      <w:marBottom w:val="0"/>
      <w:divBdr>
        <w:top w:val="none" w:sz="0" w:space="0" w:color="auto"/>
        <w:left w:val="none" w:sz="0" w:space="0" w:color="auto"/>
        <w:bottom w:val="none" w:sz="0" w:space="0" w:color="auto"/>
        <w:right w:val="none" w:sz="0" w:space="0" w:color="auto"/>
      </w:divBdr>
      <w:divsChild>
        <w:div w:id="443109904">
          <w:marLeft w:val="0"/>
          <w:marRight w:val="0"/>
          <w:marTop w:val="0"/>
          <w:marBottom w:val="0"/>
          <w:divBdr>
            <w:top w:val="none" w:sz="0" w:space="0" w:color="auto"/>
            <w:left w:val="none" w:sz="0" w:space="0" w:color="auto"/>
            <w:bottom w:val="none" w:sz="0" w:space="0" w:color="auto"/>
            <w:right w:val="none" w:sz="0" w:space="0" w:color="auto"/>
          </w:divBdr>
          <w:divsChild>
            <w:div w:id="379478767">
              <w:marLeft w:val="0"/>
              <w:marRight w:val="0"/>
              <w:marTop w:val="0"/>
              <w:marBottom w:val="0"/>
              <w:divBdr>
                <w:top w:val="none" w:sz="0" w:space="0" w:color="auto"/>
                <w:left w:val="none" w:sz="0" w:space="0" w:color="auto"/>
                <w:bottom w:val="none" w:sz="0" w:space="0" w:color="auto"/>
                <w:right w:val="none" w:sz="0" w:space="0" w:color="auto"/>
              </w:divBdr>
              <w:divsChild>
                <w:div w:id="7728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6554">
          <w:marLeft w:val="0"/>
          <w:marRight w:val="0"/>
          <w:marTop w:val="0"/>
          <w:marBottom w:val="0"/>
          <w:divBdr>
            <w:top w:val="none" w:sz="0" w:space="0" w:color="auto"/>
            <w:left w:val="none" w:sz="0" w:space="0" w:color="auto"/>
            <w:bottom w:val="none" w:sz="0" w:space="0" w:color="auto"/>
            <w:right w:val="none" w:sz="0" w:space="0" w:color="auto"/>
          </w:divBdr>
          <w:divsChild>
            <w:div w:id="1235895114">
              <w:marLeft w:val="0"/>
              <w:marRight w:val="0"/>
              <w:marTop w:val="0"/>
              <w:marBottom w:val="0"/>
              <w:divBdr>
                <w:top w:val="none" w:sz="0" w:space="0" w:color="auto"/>
                <w:left w:val="none" w:sz="0" w:space="0" w:color="auto"/>
                <w:bottom w:val="none" w:sz="0" w:space="0" w:color="auto"/>
                <w:right w:val="none" w:sz="0" w:space="0" w:color="auto"/>
              </w:divBdr>
              <w:divsChild>
                <w:div w:id="11153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6248">
          <w:marLeft w:val="0"/>
          <w:marRight w:val="0"/>
          <w:marTop w:val="0"/>
          <w:marBottom w:val="0"/>
          <w:divBdr>
            <w:top w:val="none" w:sz="0" w:space="0" w:color="auto"/>
            <w:left w:val="none" w:sz="0" w:space="0" w:color="auto"/>
            <w:bottom w:val="none" w:sz="0" w:space="0" w:color="auto"/>
            <w:right w:val="none" w:sz="0" w:space="0" w:color="auto"/>
          </w:divBdr>
          <w:divsChild>
            <w:div w:id="911696297">
              <w:marLeft w:val="0"/>
              <w:marRight w:val="0"/>
              <w:marTop w:val="0"/>
              <w:marBottom w:val="0"/>
              <w:divBdr>
                <w:top w:val="none" w:sz="0" w:space="0" w:color="auto"/>
                <w:left w:val="none" w:sz="0" w:space="0" w:color="auto"/>
                <w:bottom w:val="none" w:sz="0" w:space="0" w:color="auto"/>
                <w:right w:val="none" w:sz="0" w:space="0" w:color="auto"/>
              </w:divBdr>
              <w:divsChild>
                <w:div w:id="18439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4156">
      <w:bodyDiv w:val="1"/>
      <w:marLeft w:val="0"/>
      <w:marRight w:val="0"/>
      <w:marTop w:val="0"/>
      <w:marBottom w:val="0"/>
      <w:divBdr>
        <w:top w:val="none" w:sz="0" w:space="0" w:color="auto"/>
        <w:left w:val="none" w:sz="0" w:space="0" w:color="auto"/>
        <w:bottom w:val="none" w:sz="0" w:space="0" w:color="auto"/>
        <w:right w:val="none" w:sz="0" w:space="0" w:color="auto"/>
      </w:divBdr>
      <w:divsChild>
        <w:div w:id="369450966">
          <w:marLeft w:val="0"/>
          <w:marRight w:val="0"/>
          <w:marTop w:val="0"/>
          <w:marBottom w:val="0"/>
          <w:divBdr>
            <w:top w:val="none" w:sz="0" w:space="0" w:color="auto"/>
            <w:left w:val="none" w:sz="0" w:space="0" w:color="auto"/>
            <w:bottom w:val="none" w:sz="0" w:space="0" w:color="auto"/>
            <w:right w:val="none" w:sz="0" w:space="0" w:color="auto"/>
          </w:divBdr>
          <w:divsChild>
            <w:div w:id="1309942987">
              <w:marLeft w:val="0"/>
              <w:marRight w:val="0"/>
              <w:marTop w:val="0"/>
              <w:marBottom w:val="0"/>
              <w:divBdr>
                <w:top w:val="none" w:sz="0" w:space="0" w:color="auto"/>
                <w:left w:val="none" w:sz="0" w:space="0" w:color="auto"/>
                <w:bottom w:val="none" w:sz="0" w:space="0" w:color="auto"/>
                <w:right w:val="none" w:sz="0" w:space="0" w:color="auto"/>
              </w:divBdr>
              <w:divsChild>
                <w:div w:id="21084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84360">
      <w:bodyDiv w:val="1"/>
      <w:marLeft w:val="0"/>
      <w:marRight w:val="0"/>
      <w:marTop w:val="0"/>
      <w:marBottom w:val="0"/>
      <w:divBdr>
        <w:top w:val="none" w:sz="0" w:space="0" w:color="auto"/>
        <w:left w:val="none" w:sz="0" w:space="0" w:color="auto"/>
        <w:bottom w:val="none" w:sz="0" w:space="0" w:color="auto"/>
        <w:right w:val="none" w:sz="0" w:space="0" w:color="auto"/>
      </w:divBdr>
    </w:div>
    <w:div w:id="1604150966">
      <w:bodyDiv w:val="1"/>
      <w:marLeft w:val="0"/>
      <w:marRight w:val="0"/>
      <w:marTop w:val="0"/>
      <w:marBottom w:val="0"/>
      <w:divBdr>
        <w:top w:val="none" w:sz="0" w:space="0" w:color="auto"/>
        <w:left w:val="none" w:sz="0" w:space="0" w:color="auto"/>
        <w:bottom w:val="none" w:sz="0" w:space="0" w:color="auto"/>
        <w:right w:val="none" w:sz="0" w:space="0" w:color="auto"/>
      </w:divBdr>
    </w:div>
    <w:div w:id="1661690188">
      <w:bodyDiv w:val="1"/>
      <w:marLeft w:val="0"/>
      <w:marRight w:val="0"/>
      <w:marTop w:val="0"/>
      <w:marBottom w:val="0"/>
      <w:divBdr>
        <w:top w:val="none" w:sz="0" w:space="0" w:color="auto"/>
        <w:left w:val="none" w:sz="0" w:space="0" w:color="auto"/>
        <w:bottom w:val="none" w:sz="0" w:space="0" w:color="auto"/>
        <w:right w:val="none" w:sz="0" w:space="0" w:color="auto"/>
      </w:divBdr>
      <w:divsChild>
        <w:div w:id="1786464902">
          <w:marLeft w:val="0"/>
          <w:marRight w:val="0"/>
          <w:marTop w:val="0"/>
          <w:marBottom w:val="0"/>
          <w:divBdr>
            <w:top w:val="none" w:sz="0" w:space="0" w:color="auto"/>
            <w:left w:val="none" w:sz="0" w:space="0" w:color="auto"/>
            <w:bottom w:val="none" w:sz="0" w:space="0" w:color="auto"/>
            <w:right w:val="none" w:sz="0" w:space="0" w:color="auto"/>
          </w:divBdr>
          <w:divsChild>
            <w:div w:id="1195458243">
              <w:marLeft w:val="0"/>
              <w:marRight w:val="0"/>
              <w:marTop w:val="0"/>
              <w:marBottom w:val="0"/>
              <w:divBdr>
                <w:top w:val="none" w:sz="0" w:space="0" w:color="auto"/>
                <w:left w:val="none" w:sz="0" w:space="0" w:color="auto"/>
                <w:bottom w:val="none" w:sz="0" w:space="0" w:color="auto"/>
                <w:right w:val="none" w:sz="0" w:space="0" w:color="auto"/>
              </w:divBdr>
            </w:div>
          </w:divsChild>
        </w:div>
        <w:div w:id="2031031216">
          <w:marLeft w:val="0"/>
          <w:marRight w:val="0"/>
          <w:marTop w:val="0"/>
          <w:marBottom w:val="0"/>
          <w:divBdr>
            <w:top w:val="none" w:sz="0" w:space="0" w:color="auto"/>
            <w:left w:val="none" w:sz="0" w:space="0" w:color="auto"/>
            <w:bottom w:val="none" w:sz="0" w:space="0" w:color="auto"/>
            <w:right w:val="none" w:sz="0" w:space="0" w:color="auto"/>
          </w:divBdr>
          <w:divsChild>
            <w:div w:id="368799051">
              <w:marLeft w:val="0"/>
              <w:marRight w:val="0"/>
              <w:marTop w:val="0"/>
              <w:marBottom w:val="0"/>
              <w:divBdr>
                <w:top w:val="none" w:sz="0" w:space="0" w:color="auto"/>
                <w:left w:val="none" w:sz="0" w:space="0" w:color="auto"/>
                <w:bottom w:val="none" w:sz="0" w:space="0" w:color="auto"/>
                <w:right w:val="none" w:sz="0" w:space="0" w:color="auto"/>
              </w:divBdr>
            </w:div>
          </w:divsChild>
        </w:div>
        <w:div w:id="1290667712">
          <w:marLeft w:val="0"/>
          <w:marRight w:val="0"/>
          <w:marTop w:val="0"/>
          <w:marBottom w:val="0"/>
          <w:divBdr>
            <w:top w:val="none" w:sz="0" w:space="0" w:color="auto"/>
            <w:left w:val="none" w:sz="0" w:space="0" w:color="auto"/>
            <w:bottom w:val="none" w:sz="0" w:space="0" w:color="auto"/>
            <w:right w:val="none" w:sz="0" w:space="0" w:color="auto"/>
          </w:divBdr>
          <w:divsChild>
            <w:div w:id="1719819095">
              <w:marLeft w:val="0"/>
              <w:marRight w:val="0"/>
              <w:marTop w:val="0"/>
              <w:marBottom w:val="0"/>
              <w:divBdr>
                <w:top w:val="none" w:sz="0" w:space="0" w:color="auto"/>
                <w:left w:val="none" w:sz="0" w:space="0" w:color="auto"/>
                <w:bottom w:val="none" w:sz="0" w:space="0" w:color="auto"/>
                <w:right w:val="none" w:sz="0" w:space="0" w:color="auto"/>
              </w:divBdr>
            </w:div>
          </w:divsChild>
        </w:div>
        <w:div w:id="621375680">
          <w:marLeft w:val="0"/>
          <w:marRight w:val="0"/>
          <w:marTop w:val="0"/>
          <w:marBottom w:val="0"/>
          <w:divBdr>
            <w:top w:val="none" w:sz="0" w:space="0" w:color="auto"/>
            <w:left w:val="none" w:sz="0" w:space="0" w:color="auto"/>
            <w:bottom w:val="none" w:sz="0" w:space="0" w:color="auto"/>
            <w:right w:val="none" w:sz="0" w:space="0" w:color="auto"/>
          </w:divBdr>
          <w:divsChild>
            <w:div w:id="246887352">
              <w:marLeft w:val="0"/>
              <w:marRight w:val="0"/>
              <w:marTop w:val="0"/>
              <w:marBottom w:val="0"/>
              <w:divBdr>
                <w:top w:val="none" w:sz="0" w:space="0" w:color="auto"/>
                <w:left w:val="none" w:sz="0" w:space="0" w:color="auto"/>
                <w:bottom w:val="none" w:sz="0" w:space="0" w:color="auto"/>
                <w:right w:val="none" w:sz="0" w:space="0" w:color="auto"/>
              </w:divBdr>
            </w:div>
          </w:divsChild>
        </w:div>
        <w:div w:id="340670048">
          <w:marLeft w:val="0"/>
          <w:marRight w:val="0"/>
          <w:marTop w:val="0"/>
          <w:marBottom w:val="0"/>
          <w:divBdr>
            <w:top w:val="none" w:sz="0" w:space="0" w:color="auto"/>
            <w:left w:val="none" w:sz="0" w:space="0" w:color="auto"/>
            <w:bottom w:val="none" w:sz="0" w:space="0" w:color="auto"/>
            <w:right w:val="none" w:sz="0" w:space="0" w:color="auto"/>
          </w:divBdr>
          <w:divsChild>
            <w:div w:id="532578170">
              <w:marLeft w:val="0"/>
              <w:marRight w:val="0"/>
              <w:marTop w:val="0"/>
              <w:marBottom w:val="0"/>
              <w:divBdr>
                <w:top w:val="none" w:sz="0" w:space="0" w:color="auto"/>
                <w:left w:val="none" w:sz="0" w:space="0" w:color="auto"/>
                <w:bottom w:val="none" w:sz="0" w:space="0" w:color="auto"/>
                <w:right w:val="none" w:sz="0" w:space="0" w:color="auto"/>
              </w:divBdr>
            </w:div>
          </w:divsChild>
        </w:div>
        <w:div w:id="1864899336">
          <w:marLeft w:val="0"/>
          <w:marRight w:val="0"/>
          <w:marTop w:val="0"/>
          <w:marBottom w:val="0"/>
          <w:divBdr>
            <w:top w:val="none" w:sz="0" w:space="0" w:color="auto"/>
            <w:left w:val="none" w:sz="0" w:space="0" w:color="auto"/>
            <w:bottom w:val="none" w:sz="0" w:space="0" w:color="auto"/>
            <w:right w:val="none" w:sz="0" w:space="0" w:color="auto"/>
          </w:divBdr>
          <w:divsChild>
            <w:div w:id="377818860">
              <w:marLeft w:val="0"/>
              <w:marRight w:val="0"/>
              <w:marTop w:val="0"/>
              <w:marBottom w:val="0"/>
              <w:divBdr>
                <w:top w:val="none" w:sz="0" w:space="0" w:color="auto"/>
                <w:left w:val="none" w:sz="0" w:space="0" w:color="auto"/>
                <w:bottom w:val="none" w:sz="0" w:space="0" w:color="auto"/>
                <w:right w:val="none" w:sz="0" w:space="0" w:color="auto"/>
              </w:divBdr>
            </w:div>
          </w:divsChild>
        </w:div>
        <w:div w:id="1449816325">
          <w:marLeft w:val="0"/>
          <w:marRight w:val="0"/>
          <w:marTop w:val="0"/>
          <w:marBottom w:val="0"/>
          <w:divBdr>
            <w:top w:val="none" w:sz="0" w:space="0" w:color="auto"/>
            <w:left w:val="none" w:sz="0" w:space="0" w:color="auto"/>
            <w:bottom w:val="none" w:sz="0" w:space="0" w:color="auto"/>
            <w:right w:val="none" w:sz="0" w:space="0" w:color="auto"/>
          </w:divBdr>
          <w:divsChild>
            <w:div w:id="345668058">
              <w:marLeft w:val="0"/>
              <w:marRight w:val="0"/>
              <w:marTop w:val="0"/>
              <w:marBottom w:val="0"/>
              <w:divBdr>
                <w:top w:val="none" w:sz="0" w:space="0" w:color="auto"/>
                <w:left w:val="none" w:sz="0" w:space="0" w:color="auto"/>
                <w:bottom w:val="none" w:sz="0" w:space="0" w:color="auto"/>
                <w:right w:val="none" w:sz="0" w:space="0" w:color="auto"/>
              </w:divBdr>
            </w:div>
          </w:divsChild>
        </w:div>
        <w:div w:id="1928228250">
          <w:marLeft w:val="0"/>
          <w:marRight w:val="0"/>
          <w:marTop w:val="0"/>
          <w:marBottom w:val="0"/>
          <w:divBdr>
            <w:top w:val="none" w:sz="0" w:space="0" w:color="auto"/>
            <w:left w:val="none" w:sz="0" w:space="0" w:color="auto"/>
            <w:bottom w:val="none" w:sz="0" w:space="0" w:color="auto"/>
            <w:right w:val="none" w:sz="0" w:space="0" w:color="auto"/>
          </w:divBdr>
          <w:divsChild>
            <w:div w:id="16937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is.bank.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fordcap.uafin.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5CAA-4A6E-4127-9710-A3378F9D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1370</Words>
  <Characters>7811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v.grybach</dc:creator>
  <cp:keywords/>
  <dc:description/>
  <cp:lastModifiedBy>Denis Zavadsky</cp:lastModifiedBy>
  <cp:revision>2</cp:revision>
  <cp:lastPrinted>2020-08-20T13:31:00Z</cp:lastPrinted>
  <dcterms:created xsi:type="dcterms:W3CDTF">2024-06-27T18:32:00Z</dcterms:created>
  <dcterms:modified xsi:type="dcterms:W3CDTF">2024-06-27T18:32:00Z</dcterms:modified>
</cp:coreProperties>
</file>